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spacing w:after="160"/>
      </w:pPr>
      <w:r>
        <w:drawing>
          <wp:inline distT="0" distB="0" distL="0" distR="0">
            <wp:extent cx="3060000" cy="612598"/>
            <wp:docPr id="1" name="TerraSCORE" descr="TerraSCORE®"/>
            <wp:cNvGraphicFramePr>
              <a:graphicFrameLocks noChangeAspect="1"/>
            </wp:cNvGraphicFramePr>
            <a:graphic>
              <a:graphicData uri="http://schemas.openxmlformats.org/drawingml/2006/picture">
                <pic:pic>
                  <pic:nvPicPr>
                    <pic:cNvPr id="0" name="terrascore-logo.png"/>
                    <pic:cNvPicPr>
                      <a:picLocks noChangeAspect="1"/>
                    </pic:cNvPicPr>
                  </pic:nvPicPr>
                  <pic:blipFill>
                    <a:blip r:embed="rIdLogo"/>
                    <a:stretch>
                      <a:fillRect/>
                    </a:stretch>
                  </pic:blipFill>
                  <pic:spPr>
                    <a:xfrm>
                      <a:off x="0" y="0"/>
                      <a:ext cx="3060000" cy="612598"/>
                    </a:xfrm>
                    <a:prstGeom prst="rect">
                      <a:avLst/>
                    </a:prstGeom>
                  </pic:spPr>
                </pic:pic>
              </a:graphicData>
            </a:graphic>
          </wp:inline>
        </w:drawing>
      </w:r>
    </w:p>
    <w:p>
      <w:pPr>
        <w:pStyle w:val="Subtitle"/>
      </w:pPr>
      <w:r>
        <w:t xml:space="preserve">România</w:t>
      </w:r>
    </w:p>
    <w:p>
      <w:pPr>
        <w:pStyle w:val="Title"/>
      </w:pPr>
      <w:r>
        <w:t xml:space="preserve">Profil și raport</w:t>
      </w:r>
    </w:p>
    <w:p>
      <w:pPr>
        <w:pStyle w:val="Heading1"/>
      </w:pPr>
      <w:r>
        <w:t xml:space="preserve">România · Perioada fiecărui set de date este indicată lângă indicator.</w:t>
      </w:r>
    </w:p>
    <w:p>
      <w:pPr>
        <w:pStyle w:val="Body"/>
      </w:pPr>
      <w:r>
        <w:t xml:space="preserve">Versiune preliminară, care necesită completări și îmbunătățiri. Această versiune preliminară include indicatori selectați despre terenuri, sol și secetă, statistici agricole și surse economice datate. Calculele climatice, ET0, indicii de vegetație și scenariile de irigare nu sunt incluse.</w:t>
      </w:r>
    </w:p>
    <w:p>
      <w:pPr>
        <w:pStyle w:val="Heading1"/>
      </w:pPr>
      <w:r>
        <w:t xml:space="preserve">Teren și relief</w:t>
      </w:r>
    </w:p>
    <w:p>
      <w:pPr>
        <w:keepNext/>
        <w:pStyle w:val="Body"/>
      </w:pPr>
      <w:r>
        <w:t xml:space="preserve">Suprafața cultivată provine din WorldCover 2021. Altitudinea și panta provin dintr-un model al suprafeței terenului; nu este o hartă a culturilor din 2026. Model al suprafeței, nu al terenului fără obiecte; Agregare la 0,005°; Mai multe achiziții, documentate în registru. Mască datată, nu hartă a culturilor din 2026; Suprafața cultivată nu este ponderată a doua oară; Mai multe achiziții, documentate în registru. Coduri tehnice și proveniență completă în JSON.</w:t>
      </w:r>
    </w:p>
    <w:tbl>
      <w:tblPr>
        <w:tblW w:w="10000" w:type="dxa"/>
        <w:tblBorders>
          <w:bottom w:val="single" w:sz="4" w:color="D9DFE8"/>
          <w:insideH w:val="single" w:sz="4" w:color="D9DFE8"/>
        </w:tblBorders>
      </w:tblPr>
      <w:tblGrid>
        <w:gridCol w:w="2000"/>
        <w:gridCol w:w="2000"/>
        <w:gridCol w:w="2000"/>
        <w:gridCol w:w="2000"/>
        <w:gridCol w:w="2000"/>
      </w:tblGrid>
      <w:tr>
        <w:trPr>
          <w:cantSplit/>
          <w:tblHeader/>
        </w:trPr>
        <w:tc>
          <w:tcPr>
            <w:tcW w:w="2000" w:type="dxa"/>
            <w:shd w:fill="F5F5F5"/>
          </w:tcPr>
          <w:p>
            <w:pPr>
              <w:pStyle w:val="Body"/>
              <w:keepNext/>
            </w:pPr>
            <w:r>
              <w:t xml:space="preserve">Indicator</w:t>
            </w:r>
          </w:p>
        </w:tc>
        <w:tc>
          <w:tcPr>
            <w:tcW w:w="2000" w:type="dxa"/>
            <w:shd w:fill="F5F5F5"/>
          </w:tcPr>
          <w:p>
            <w:pPr>
              <w:pStyle w:val="Body"/>
              <w:keepNext/>
            </w:pPr>
            <w:r>
              <w:t xml:space="preserve">Valoare</w:t>
            </w:r>
          </w:p>
        </w:tc>
        <w:tc>
          <w:tcPr>
            <w:tcW w:w="2000" w:type="dxa"/>
            <w:shd w:fill="F5F5F5"/>
          </w:tcPr>
          <w:p>
            <w:pPr>
              <w:pStyle w:val="Body"/>
              <w:keepNext/>
            </w:pPr>
            <w:r>
              <w:t xml:space="preserve">Unitate</w:t>
            </w:r>
          </w:p>
        </w:tc>
        <w:tc>
          <w:tcPr>
            <w:tcW w:w="2000" w:type="dxa"/>
            <w:shd w:fill="F5F5F5"/>
          </w:tcPr>
          <w:p>
            <w:pPr>
              <w:pStyle w:val="Body"/>
              <w:keepNext/>
            </w:pPr>
            <w:r>
              <w:t xml:space="preserve">Acoperire validă</w:t>
            </w:r>
          </w:p>
        </w:tc>
        <w:tc>
          <w:tcPr>
            <w:tcW w:w="2000" w:type="dxa"/>
            <w:shd w:fill="F5F5F5"/>
          </w:tcPr>
          <w:p>
            <w:pPr>
              <w:pStyle w:val="Body"/>
              <w:keepNext/>
            </w:pPr>
            <w:r>
              <w:t xml:space="preserve">Perioada datelor</w:t>
            </w:r>
          </w:p>
        </w:tc>
      </w:tr>
      <w:tr>
        <w:trPr>
          <w:cantSplit/>
        </w:trPr>
        <w:tc>
          <w:tcPr>
            <w:tcW w:w="2000" w:type="dxa"/>
          </w:tcPr>
          <w:p>
            <w:pPr>
              <w:pStyle w:val="Body"/>
            </w:pPr>
            <w:r>
              <w:t xml:space="preserve">Altitudine medie</w:t>
            </w:r>
          </w:p>
        </w:tc>
        <w:tc>
          <w:tcPr>
            <w:tcW w:w="2000" w:type="dxa"/>
          </w:tcPr>
          <w:p>
            <w:pPr>
              <w:pStyle w:val="Body"/>
            </w:pPr>
            <w:r>
              <w:t xml:space="preserve">400,407</w:t>
            </w:r>
          </w:p>
        </w:tc>
        <w:tc>
          <w:tcPr>
            <w:tcW w:w="2000" w:type="dxa"/>
          </w:tcPr>
          <w:p>
            <w:pPr>
              <w:pStyle w:val="Body"/>
            </w:pPr>
            <w:r>
              <w:t xml:space="preserve">m</w:t>
            </w:r>
          </w:p>
        </w:tc>
        <w:tc>
          <w:tcPr>
            <w:tcW w:w="2000" w:type="dxa"/>
          </w:tcPr>
          <w:p>
            <w:pPr>
              <w:pStyle w:val="Body"/>
            </w:pPr>
            <w:r>
              <w:t xml:space="preserve">100% · 237432,412 km²</w:t>
            </w:r>
          </w:p>
        </w:tc>
        <w:tc>
          <w:tcPr>
            <w:tcW w:w="2000" w:type="dxa"/>
          </w:tcPr>
          <w:p>
            <w:pPr>
              <w:pStyle w:val="Body"/>
            </w:pPr>
            <w:r>
              <w:t xml:space="preserve">Strat static</w:t>
            </w:r>
          </w:p>
        </w:tc>
      </w:tr>
      <w:tr>
        <w:trPr>
          <w:cantSplit/>
        </w:trPr>
        <w:tc>
          <w:tcPr>
            <w:tcW w:w="2000" w:type="dxa"/>
          </w:tcPr>
          <w:p>
            <w:pPr>
              <w:pStyle w:val="Body"/>
            </w:pPr>
            <w:r>
              <w:t xml:space="preserve">Pantă medie</w:t>
            </w:r>
          </w:p>
        </w:tc>
        <w:tc>
          <w:tcPr>
            <w:tcW w:w="2000" w:type="dxa"/>
          </w:tcPr>
          <w:p>
            <w:pPr>
              <w:pStyle w:val="Body"/>
            </w:pPr>
            <w:r>
              <w:t xml:space="preserve">7,133</w:t>
            </w:r>
          </w:p>
        </w:tc>
        <w:tc>
          <w:tcPr>
            <w:tcW w:w="2000" w:type="dxa"/>
          </w:tcPr>
          <w:p>
            <w:pPr>
              <w:pStyle w:val="Body"/>
            </w:pPr>
            <w:r>
              <w:t xml:space="preserve">grade</w:t>
            </w:r>
          </w:p>
        </w:tc>
        <w:tc>
          <w:tcPr>
            <w:tcW w:w="2000" w:type="dxa"/>
          </w:tcPr>
          <w:p>
            <w:pPr>
              <w:pStyle w:val="Body"/>
            </w:pPr>
            <w:r>
              <w:t xml:space="preserve">100% · 237432,412 km²</w:t>
            </w:r>
          </w:p>
        </w:tc>
        <w:tc>
          <w:tcPr>
            <w:tcW w:w="2000" w:type="dxa"/>
          </w:tcPr>
          <w:p>
            <w:pPr>
              <w:pStyle w:val="Body"/>
            </w:pPr>
            <w:r>
              <w:t xml:space="preserve">Strat static</w:t>
            </w:r>
          </w:p>
        </w:tc>
      </w:tr>
      <w:tr>
        <w:trPr>
          <w:cantSplit/>
        </w:trPr>
        <w:tc>
          <w:tcPr>
            <w:tcW w:w="2000" w:type="dxa"/>
          </w:tcPr>
          <w:p>
            <w:pPr>
              <w:pStyle w:val="Body"/>
            </w:pPr>
            <w:r>
              <w:t xml:space="preserve">Suprafață cultivată 2021</w:t>
            </w:r>
          </w:p>
        </w:tc>
        <w:tc>
          <w:tcPr>
            <w:tcW w:w="2000" w:type="dxa"/>
          </w:tcPr>
          <w:p>
            <w:pPr>
              <w:pStyle w:val="Body"/>
            </w:pPr>
            <w:r>
              <w:t xml:space="preserve">8291605,15</w:t>
            </w:r>
          </w:p>
        </w:tc>
        <w:tc>
          <w:tcPr>
            <w:tcW w:w="2000" w:type="dxa"/>
          </w:tcPr>
          <w:p>
            <w:pPr>
              <w:pStyle w:val="Body"/>
            </w:pPr>
            <w:r>
              <w:t xml:space="preserve">ha</w:t>
            </w:r>
          </w:p>
        </w:tc>
        <w:tc>
          <w:tcPr>
            <w:tcW w:w="2000" w:type="dxa"/>
          </w:tcPr>
          <w:p>
            <w:pPr>
              <w:pStyle w:val="Body"/>
            </w:pPr>
            <w:r>
              <w:t xml:space="preserve">100% · 237432,412 km²</w:t>
            </w:r>
          </w:p>
        </w:tc>
        <w:tc>
          <w:tcPr>
            <w:tcW w:w="2000" w:type="dxa"/>
          </w:tcPr>
          <w:p>
            <w:pPr>
              <w:pStyle w:val="Body"/>
            </w:pPr>
            <w:r>
              <w:t xml:space="preserve">Strat static</w:t>
            </w:r>
          </w:p>
        </w:tc>
      </w:tr>
    </w:tbl>
    <w:p>
      <w:pPr>
        <w:pStyle w:val="Heading1"/>
      </w:pPr>
      <w:r>
        <w:t xml:space="preserve">Soluri</w:t>
      </w:r>
    </w:p>
    <w:p>
      <w:pPr>
        <w:keepNext/>
        <w:pStyle w:val="Body"/>
      </w:pPr>
      <w:r>
        <w:t xml:space="preserve">Proprietăți modelate ale solului pentru intervalul de adâncime selectat. Nu înlocuiesc analizele de laborator sau măsurarea retenției pe parcelă. Sol modelat, nu analiză de laborator; Strat static, adâncime explicită; Cuantile neincluse; Suprafețe în proiecția nativă ESRI:54052. Coduri tehnice și proveniență completă în JSON.</w:t>
      </w:r>
    </w:p>
    <w:tbl>
      <w:tblPr>
        <w:tblW w:w="10000" w:type="dxa"/>
        <w:tblBorders>
          <w:bottom w:val="single" w:sz="4" w:color="D9DFE8"/>
          <w:insideH w:val="single" w:sz="4" w:color="D9DFE8"/>
        </w:tblBorders>
      </w:tblPr>
      <w:tblGrid>
        <w:gridCol w:w="2000"/>
        <w:gridCol w:w="2000"/>
        <w:gridCol w:w="2000"/>
        <w:gridCol w:w="2000"/>
        <w:gridCol w:w="2000"/>
      </w:tblGrid>
      <w:tr>
        <w:trPr>
          <w:cantSplit/>
          <w:tblHeader/>
        </w:trPr>
        <w:tc>
          <w:tcPr>
            <w:tcW w:w="2000" w:type="dxa"/>
            <w:shd w:fill="F5F5F5"/>
          </w:tcPr>
          <w:p>
            <w:pPr>
              <w:pStyle w:val="Body"/>
              <w:keepNext/>
            </w:pPr>
            <w:r>
              <w:t xml:space="preserve">Indicator</w:t>
            </w:r>
          </w:p>
        </w:tc>
        <w:tc>
          <w:tcPr>
            <w:tcW w:w="2000" w:type="dxa"/>
            <w:shd w:fill="F5F5F5"/>
          </w:tcPr>
          <w:p>
            <w:pPr>
              <w:pStyle w:val="Body"/>
              <w:keepNext/>
            </w:pPr>
            <w:r>
              <w:t xml:space="preserve">Valoare</w:t>
            </w:r>
          </w:p>
        </w:tc>
        <w:tc>
          <w:tcPr>
            <w:tcW w:w="2000" w:type="dxa"/>
            <w:shd w:fill="F5F5F5"/>
          </w:tcPr>
          <w:p>
            <w:pPr>
              <w:pStyle w:val="Body"/>
              <w:keepNext/>
            </w:pPr>
            <w:r>
              <w:t xml:space="preserve">Unitate</w:t>
            </w:r>
          </w:p>
        </w:tc>
        <w:tc>
          <w:tcPr>
            <w:tcW w:w="2000" w:type="dxa"/>
            <w:shd w:fill="F5F5F5"/>
          </w:tcPr>
          <w:p>
            <w:pPr>
              <w:pStyle w:val="Body"/>
              <w:keepNext/>
            </w:pPr>
            <w:r>
              <w:t xml:space="preserve">Acoperire validă</w:t>
            </w:r>
          </w:p>
        </w:tc>
        <w:tc>
          <w:tcPr>
            <w:tcW w:w="2000" w:type="dxa"/>
            <w:shd w:fill="F5F5F5"/>
          </w:tcPr>
          <w:p>
            <w:pPr>
              <w:pStyle w:val="Body"/>
              <w:keepNext/>
            </w:pPr>
            <w:r>
              <w:t xml:space="preserve">Perioada datelor</w:t>
            </w:r>
          </w:p>
        </w:tc>
      </w:tr>
      <w:tr>
        <w:trPr>
          <w:cantSplit/>
        </w:trPr>
        <w:tc>
          <w:tcPr>
            <w:tcW w:w="2000" w:type="dxa"/>
          </w:tcPr>
          <w:p>
            <w:pPr>
              <w:pStyle w:val="Body"/>
            </w:pPr>
            <w:r>
              <w:t xml:space="preserve">pH în apă</w:t>
            </w:r>
          </w:p>
        </w:tc>
        <w:tc>
          <w:tcPr>
            <w:tcW w:w="2000" w:type="dxa"/>
          </w:tcPr>
          <w:p>
            <w:pPr>
              <w:pStyle w:val="Body"/>
            </w:pPr>
            <w:r>
              <w:t xml:space="preserve">6,338</w:t>
            </w:r>
          </w:p>
        </w:tc>
        <w:tc>
          <w:tcPr>
            <w:tcW w:w="2000" w:type="dxa"/>
          </w:tcPr>
          <w:p>
            <w:pPr>
              <w:pStyle w:val="Body"/>
            </w:pPr>
            <w:r>
              <w:t xml:space="preserve">pH</w:t>
            </w:r>
          </w:p>
        </w:tc>
        <w:tc>
          <w:tcPr>
            <w:tcW w:w="2000" w:type="dxa"/>
          </w:tcPr>
          <w:p>
            <w:pPr>
              <w:pStyle w:val="Body"/>
            </w:pPr>
            <w:r>
              <w:t xml:space="preserve">95,325% · 226290,474 km²</w:t>
            </w:r>
          </w:p>
        </w:tc>
        <w:tc>
          <w:tcPr>
            <w:tcW w:w="2000" w:type="dxa"/>
          </w:tcPr>
          <w:p>
            <w:pPr>
              <w:pStyle w:val="Body"/>
            </w:pPr>
            <w:r>
              <w:t xml:space="preserve">Strat static · 0-5cm</w:t>
            </w:r>
          </w:p>
        </w:tc>
      </w:tr>
      <w:tr>
        <w:trPr>
          <w:cantSplit/>
        </w:trPr>
        <w:tc>
          <w:tcPr>
            <w:tcW w:w="2000" w:type="dxa"/>
          </w:tcPr>
          <w:p>
            <w:pPr>
              <w:pStyle w:val="Body"/>
            </w:pPr>
            <w:r>
              <w:t xml:space="preserve">Argilă</w:t>
            </w:r>
          </w:p>
        </w:tc>
        <w:tc>
          <w:tcPr>
            <w:tcW w:w="2000" w:type="dxa"/>
          </w:tcPr>
          <w:p>
            <w:pPr>
              <w:pStyle w:val="Body"/>
            </w:pPr>
            <w:r>
              <w:t xml:space="preserve">36,653</w:t>
            </w:r>
          </w:p>
        </w:tc>
        <w:tc>
          <w:tcPr>
            <w:tcW w:w="2000" w:type="dxa"/>
          </w:tcPr>
          <w:p>
            <w:pPr>
              <w:pStyle w:val="Body"/>
            </w:pPr>
            <w:r>
              <w:t xml:space="preserve">%</w:t>
            </w:r>
          </w:p>
        </w:tc>
        <w:tc>
          <w:tcPr>
            <w:tcW w:w="2000" w:type="dxa"/>
          </w:tcPr>
          <w:p>
            <w:pPr>
              <w:pStyle w:val="Body"/>
            </w:pPr>
            <w:r>
              <w:t xml:space="preserve">95,325% · 226290,474 km²</w:t>
            </w:r>
          </w:p>
        </w:tc>
        <w:tc>
          <w:tcPr>
            <w:tcW w:w="2000" w:type="dxa"/>
          </w:tcPr>
          <w:p>
            <w:pPr>
              <w:pStyle w:val="Body"/>
            </w:pPr>
            <w:r>
              <w:t xml:space="preserve">Strat static · 0-5cm</w:t>
            </w:r>
          </w:p>
        </w:tc>
      </w:tr>
      <w:tr>
        <w:trPr>
          <w:cantSplit/>
        </w:trPr>
        <w:tc>
          <w:tcPr>
            <w:tcW w:w="2000" w:type="dxa"/>
          </w:tcPr>
          <w:p>
            <w:pPr>
              <w:pStyle w:val="Body"/>
            </w:pPr>
            <w:r>
              <w:t xml:space="preserve">Carbon organic în sol</w:t>
            </w:r>
          </w:p>
        </w:tc>
        <w:tc>
          <w:tcPr>
            <w:tcW w:w="2000" w:type="dxa"/>
          </w:tcPr>
          <w:p>
            <w:pPr>
              <w:pStyle w:val="Body"/>
            </w:pPr>
            <w:r>
              <w:t xml:space="preserve">51,088</w:t>
            </w:r>
          </w:p>
        </w:tc>
        <w:tc>
          <w:tcPr>
            <w:tcW w:w="2000" w:type="dxa"/>
          </w:tcPr>
          <w:p>
            <w:pPr>
              <w:pStyle w:val="Body"/>
            </w:pPr>
            <w:r>
              <w:t xml:space="preserve">g/kg</w:t>
            </w:r>
          </w:p>
        </w:tc>
        <w:tc>
          <w:tcPr>
            <w:tcW w:w="2000" w:type="dxa"/>
          </w:tcPr>
          <w:p>
            <w:pPr>
              <w:pStyle w:val="Body"/>
            </w:pPr>
            <w:r>
              <w:t xml:space="preserve">95,294% · 226216,611 km²</w:t>
            </w:r>
          </w:p>
        </w:tc>
        <w:tc>
          <w:tcPr>
            <w:tcW w:w="2000" w:type="dxa"/>
          </w:tcPr>
          <w:p>
            <w:pPr>
              <w:pStyle w:val="Body"/>
            </w:pPr>
            <w:r>
              <w:t xml:space="preserve">Strat static · 0-5cm</w:t>
            </w:r>
          </w:p>
        </w:tc>
      </w:tr>
    </w:tbl>
    <w:p>
      <w:pPr>
        <w:pStyle w:val="Heading1"/>
      </w:pPr>
      <w:r>
        <w:t xml:space="preserve">Secetă</w:t>
      </w:r>
    </w:p>
    <w:p>
      <w:pPr>
        <w:keepNext/>
        <w:pStyle w:val="Body"/>
      </w:pPr>
      <w:r>
        <w:t xml:space="preserve">Ponderile claselor CDI sunt calculate în raport cu suprafața cu date valide. Sunt informații CEMS/EDO, distincte de SMSR/IUNG-PIB. Clase CDI, fără scor numeric de risc; Avertisment JRC privind tendința uscată în estul Poloniei; Mai multe achiziții, documentate în registru. Coduri tehnice și proveniență completă în JSON.</w:t>
      </w:r>
    </w:p>
    <w:tbl>
      <w:tblPr>
        <w:tblW w:w="10000" w:type="dxa"/>
        <w:tblBorders>
          <w:bottom w:val="single" w:sz="4" w:color="D9DFE8"/>
          <w:insideH w:val="single" w:sz="4" w:color="D9DFE8"/>
        </w:tblBorders>
      </w:tblPr>
      <w:tblGrid>
        <w:gridCol w:w="2000"/>
        <w:gridCol w:w="2000"/>
        <w:gridCol w:w="2000"/>
        <w:gridCol w:w="2000"/>
        <w:gridCol w:w="2000"/>
      </w:tblGrid>
      <w:tr>
        <w:trPr>
          <w:cantSplit/>
          <w:tblHeader/>
        </w:trPr>
        <w:tc>
          <w:tcPr>
            <w:tcW w:w="2000" w:type="dxa"/>
            <w:shd w:fill="F5F5F5"/>
          </w:tcPr>
          <w:p>
            <w:pPr>
              <w:pStyle w:val="Body"/>
              <w:keepNext/>
            </w:pPr>
            <w:r>
              <w:t xml:space="preserve">Indicator</w:t>
            </w:r>
          </w:p>
        </w:tc>
        <w:tc>
          <w:tcPr>
            <w:tcW w:w="2000" w:type="dxa"/>
            <w:shd w:fill="F5F5F5"/>
          </w:tcPr>
          <w:p>
            <w:pPr>
              <w:pStyle w:val="Body"/>
              <w:keepNext/>
            </w:pPr>
            <w:r>
              <w:t xml:space="preserve">Valoare</w:t>
            </w:r>
          </w:p>
        </w:tc>
        <w:tc>
          <w:tcPr>
            <w:tcW w:w="2000" w:type="dxa"/>
            <w:shd w:fill="F5F5F5"/>
          </w:tcPr>
          <w:p>
            <w:pPr>
              <w:pStyle w:val="Body"/>
              <w:keepNext/>
            </w:pPr>
            <w:r>
              <w:t xml:space="preserve">Unitate</w:t>
            </w:r>
          </w:p>
        </w:tc>
        <w:tc>
          <w:tcPr>
            <w:tcW w:w="2000" w:type="dxa"/>
            <w:shd w:fill="F5F5F5"/>
          </w:tcPr>
          <w:p>
            <w:pPr>
              <w:pStyle w:val="Body"/>
              <w:keepNext/>
            </w:pPr>
            <w:r>
              <w:t xml:space="preserve">Acoperire validă</w:t>
            </w:r>
          </w:p>
        </w:tc>
        <w:tc>
          <w:tcPr>
            <w:tcW w:w="2000" w:type="dxa"/>
            <w:shd w:fill="F5F5F5"/>
          </w:tcPr>
          <w:p>
            <w:pPr>
              <w:pStyle w:val="Body"/>
              <w:keepNext/>
            </w:pPr>
            <w:r>
              <w:t xml:space="preserve">Perioada datelor</w:t>
            </w:r>
          </w:p>
        </w:tc>
      </w:tr>
      <w:tr>
        <w:trPr>
          <w:cantSplit/>
        </w:trPr>
        <w:tc>
          <w:tcPr>
            <w:tcW w:w="2000" w:type="dxa"/>
          </w:tcPr>
          <w:p>
            <w:pPr>
              <w:pStyle w:val="Body"/>
            </w:pPr>
            <w:r>
              <w:t xml:space="preserve">Fără secetă</w:t>
            </w:r>
          </w:p>
        </w:tc>
        <w:tc>
          <w:tcPr>
            <w:tcW w:w="2000" w:type="dxa"/>
          </w:tcPr>
          <w:p>
            <w:pPr>
              <w:pStyle w:val="Body"/>
            </w:pPr>
            <w:r>
              <w:t xml:space="preserve">16,691</w:t>
            </w:r>
          </w:p>
        </w:tc>
        <w:tc>
          <w:tcPr>
            <w:tcW w:w="2000" w:type="dxa"/>
          </w:tcPr>
          <w:p>
            <w:pPr>
              <w:pStyle w:val="Body"/>
            </w:pPr>
            <w:r>
              <w:t xml:space="preserve">%</w:t>
            </w:r>
          </w:p>
        </w:tc>
        <w:tc>
          <w:tcPr>
            <w:tcW w:w="2000" w:type="dxa"/>
          </w:tcPr>
          <w:p>
            <w:pPr>
              <w:pStyle w:val="Body"/>
            </w:pPr>
            <w:r>
              <w:t xml:space="preserve">99,968% · 237357,348 km²</w:t>
            </w:r>
          </w:p>
        </w:tc>
        <w:tc>
          <w:tcPr>
            <w:tcW w:w="2000" w:type="dxa"/>
          </w:tcPr>
          <w:p>
            <w:pPr>
              <w:pStyle w:val="Body"/>
            </w:pPr>
            <w:r>
              <w:t xml:space="preserve">2026-09-11</w:t>
            </w:r>
          </w:p>
        </w:tc>
      </w:tr>
      <w:tr>
        <w:trPr>
          <w:cantSplit/>
        </w:trPr>
        <w:tc>
          <w:tcPr>
            <w:tcW w:w="2000" w:type="dxa"/>
          </w:tcPr>
          <w:p>
            <w:pPr>
              <w:pStyle w:val="Body"/>
            </w:pPr>
            <w:r>
              <w:t xml:space="preserve">Supraveghere · deficit de precipitații</w:t>
            </w:r>
          </w:p>
        </w:tc>
        <w:tc>
          <w:tcPr>
            <w:tcW w:w="2000" w:type="dxa"/>
          </w:tcPr>
          <w:p>
            <w:pPr>
              <w:pStyle w:val="Body"/>
            </w:pPr>
            <w:r>
              <w:t xml:space="preserve">8,606</w:t>
            </w:r>
          </w:p>
        </w:tc>
        <w:tc>
          <w:tcPr>
            <w:tcW w:w="2000" w:type="dxa"/>
          </w:tcPr>
          <w:p>
            <w:pPr>
              <w:pStyle w:val="Body"/>
            </w:pPr>
            <w:r>
              <w:t xml:space="preserve">%</w:t>
            </w:r>
          </w:p>
        </w:tc>
        <w:tc>
          <w:tcPr>
            <w:tcW w:w="2000" w:type="dxa"/>
          </w:tcPr>
          <w:p>
            <w:pPr>
              <w:pStyle w:val="Body"/>
            </w:pPr>
            <w:r>
              <w:t xml:space="preserve">99,968% · 237357,348 km²</w:t>
            </w:r>
          </w:p>
        </w:tc>
        <w:tc>
          <w:tcPr>
            <w:tcW w:w="2000" w:type="dxa"/>
          </w:tcPr>
          <w:p>
            <w:pPr>
              <w:pStyle w:val="Body"/>
            </w:pPr>
            <w:r>
              <w:t xml:space="preserve">2026-09-11</w:t>
            </w:r>
          </w:p>
        </w:tc>
      </w:tr>
      <w:tr>
        <w:trPr>
          <w:cantSplit/>
        </w:trPr>
        <w:tc>
          <w:tcPr>
            <w:tcW w:w="2000" w:type="dxa"/>
          </w:tcPr>
          <w:p>
            <w:pPr>
              <w:pStyle w:val="Body"/>
            </w:pPr>
            <w:r>
              <w:t xml:space="preserve">Avertizare · deficit de umiditate în sol</w:t>
            </w:r>
          </w:p>
        </w:tc>
        <w:tc>
          <w:tcPr>
            <w:tcW w:w="2000" w:type="dxa"/>
          </w:tcPr>
          <w:p>
            <w:pPr>
              <w:pStyle w:val="Body"/>
            </w:pPr>
            <w:r>
              <w:t xml:space="preserve">52,96</w:t>
            </w:r>
          </w:p>
        </w:tc>
        <w:tc>
          <w:tcPr>
            <w:tcW w:w="2000" w:type="dxa"/>
          </w:tcPr>
          <w:p>
            <w:pPr>
              <w:pStyle w:val="Body"/>
            </w:pPr>
            <w:r>
              <w:t xml:space="preserve">%</w:t>
            </w:r>
          </w:p>
        </w:tc>
        <w:tc>
          <w:tcPr>
            <w:tcW w:w="2000" w:type="dxa"/>
          </w:tcPr>
          <w:p>
            <w:pPr>
              <w:pStyle w:val="Body"/>
            </w:pPr>
            <w:r>
              <w:t xml:space="preserve">99,968% · 237357,348 km²</w:t>
            </w:r>
          </w:p>
        </w:tc>
        <w:tc>
          <w:tcPr>
            <w:tcW w:w="2000" w:type="dxa"/>
          </w:tcPr>
          <w:p>
            <w:pPr>
              <w:pStyle w:val="Body"/>
            </w:pPr>
            <w:r>
              <w:t xml:space="preserve">2026-09-11</w:t>
            </w:r>
          </w:p>
        </w:tc>
      </w:tr>
      <w:tr>
        <w:trPr>
          <w:cantSplit/>
        </w:trPr>
        <w:tc>
          <w:tcPr>
            <w:tcW w:w="2000" w:type="dxa"/>
          </w:tcPr>
          <w:p>
            <w:pPr>
              <w:pStyle w:val="Body"/>
            </w:pPr>
            <w:r>
              <w:t xml:space="preserve">Alertă · stres al vegetației</w:t>
            </w:r>
          </w:p>
        </w:tc>
        <w:tc>
          <w:tcPr>
            <w:tcW w:w="2000" w:type="dxa"/>
          </w:tcPr>
          <w:p>
            <w:pPr>
              <w:pStyle w:val="Body"/>
            </w:pPr>
            <w:r>
              <w:t xml:space="preserve">15,953</w:t>
            </w:r>
          </w:p>
        </w:tc>
        <w:tc>
          <w:tcPr>
            <w:tcW w:w="2000" w:type="dxa"/>
          </w:tcPr>
          <w:p>
            <w:pPr>
              <w:pStyle w:val="Body"/>
            </w:pPr>
            <w:r>
              <w:t xml:space="preserve">%</w:t>
            </w:r>
          </w:p>
        </w:tc>
        <w:tc>
          <w:tcPr>
            <w:tcW w:w="2000" w:type="dxa"/>
          </w:tcPr>
          <w:p>
            <w:pPr>
              <w:pStyle w:val="Body"/>
            </w:pPr>
            <w:r>
              <w:t xml:space="preserve">99,968% · 237357,348 km²</w:t>
            </w:r>
          </w:p>
        </w:tc>
        <w:tc>
          <w:tcPr>
            <w:tcW w:w="2000" w:type="dxa"/>
          </w:tcPr>
          <w:p>
            <w:pPr>
              <w:pStyle w:val="Body"/>
            </w:pPr>
            <w:r>
              <w:t xml:space="preserve">2026-09-11</w:t>
            </w:r>
          </w:p>
        </w:tc>
      </w:tr>
      <w:tr>
        <w:trPr>
          <w:cantSplit/>
        </w:trPr>
        <w:tc>
          <w:tcPr>
            <w:tcW w:w="2000" w:type="dxa"/>
          </w:tcPr>
          <w:p>
            <w:pPr>
              <w:pStyle w:val="Body"/>
            </w:pPr>
            <w:r>
              <w:t xml:space="preserve">Revenire la condiții normale</w:t>
            </w:r>
          </w:p>
        </w:tc>
        <w:tc>
          <w:tcPr>
            <w:tcW w:w="2000" w:type="dxa"/>
          </w:tcPr>
          <w:p>
            <w:pPr>
              <w:pStyle w:val="Body"/>
            </w:pPr>
            <w:r>
              <w:t xml:space="preserve">3,899</w:t>
            </w:r>
          </w:p>
        </w:tc>
        <w:tc>
          <w:tcPr>
            <w:tcW w:w="2000" w:type="dxa"/>
          </w:tcPr>
          <w:p>
            <w:pPr>
              <w:pStyle w:val="Body"/>
            </w:pPr>
            <w:r>
              <w:t xml:space="preserve">%</w:t>
            </w:r>
          </w:p>
        </w:tc>
        <w:tc>
          <w:tcPr>
            <w:tcW w:w="2000" w:type="dxa"/>
          </w:tcPr>
          <w:p>
            <w:pPr>
              <w:pStyle w:val="Body"/>
            </w:pPr>
            <w:r>
              <w:t xml:space="preserve">99,968% · 237357,348 km²</w:t>
            </w:r>
          </w:p>
        </w:tc>
        <w:tc>
          <w:tcPr>
            <w:tcW w:w="2000" w:type="dxa"/>
          </w:tcPr>
          <w:p>
            <w:pPr>
              <w:pStyle w:val="Body"/>
            </w:pPr>
            <w:r>
              <w:t xml:space="preserve">2026-09-11</w:t>
            </w:r>
          </w:p>
        </w:tc>
      </w:tr>
      <w:tr>
        <w:trPr>
          <w:cantSplit/>
        </w:trPr>
        <w:tc>
          <w:tcPr>
            <w:tcW w:w="2000" w:type="dxa"/>
          </w:tcPr>
          <w:p>
            <w:pPr>
              <w:pStyle w:val="Body"/>
            </w:pPr>
            <w:r>
              <w:t xml:space="preserve">Refacere temporară a vegetației</w:t>
            </w:r>
          </w:p>
        </w:tc>
        <w:tc>
          <w:tcPr>
            <w:tcW w:w="2000" w:type="dxa"/>
          </w:tcPr>
          <w:p>
            <w:pPr>
              <w:pStyle w:val="Body"/>
            </w:pPr>
            <w:r>
              <w:t xml:space="preserve">1,892</w:t>
            </w:r>
          </w:p>
        </w:tc>
        <w:tc>
          <w:tcPr>
            <w:tcW w:w="2000" w:type="dxa"/>
          </w:tcPr>
          <w:p>
            <w:pPr>
              <w:pStyle w:val="Body"/>
            </w:pPr>
            <w:r>
              <w:t xml:space="preserve">%</w:t>
            </w:r>
          </w:p>
        </w:tc>
        <w:tc>
          <w:tcPr>
            <w:tcW w:w="2000" w:type="dxa"/>
          </w:tcPr>
          <w:p>
            <w:pPr>
              <w:pStyle w:val="Body"/>
            </w:pPr>
            <w:r>
              <w:t xml:space="preserve">99,968% · 237357,348 km²</w:t>
            </w:r>
          </w:p>
        </w:tc>
        <w:tc>
          <w:tcPr>
            <w:tcW w:w="2000" w:type="dxa"/>
          </w:tcPr>
          <w:p>
            <w:pPr>
              <w:pStyle w:val="Body"/>
            </w:pPr>
            <w:r>
              <w:t xml:space="preserve">2026-09-11</w:t>
            </w:r>
          </w:p>
        </w:tc>
      </w:tr>
      <w:tr>
        <w:trPr>
          <w:cantSplit/>
        </w:trPr>
        <w:tc>
          <w:tcPr>
            <w:tcW w:w="2000" w:type="dxa"/>
          </w:tcPr>
          <w:p>
            <w:pPr>
              <w:pStyle w:val="Body"/>
            </w:pPr>
            <w:r>
              <w:t xml:space="preserve">Refacere temporară a umidității solului</w:t>
            </w:r>
          </w:p>
        </w:tc>
        <w:tc>
          <w:tcPr>
            <w:tcW w:w="2000" w:type="dxa"/>
          </w:tcPr>
          <w:p>
            <w:pPr>
              <w:pStyle w:val="Body"/>
            </w:pPr>
            <w:r>
              <w:t xml:space="preserve">0</w:t>
            </w:r>
          </w:p>
        </w:tc>
        <w:tc>
          <w:tcPr>
            <w:tcW w:w="2000" w:type="dxa"/>
          </w:tcPr>
          <w:p>
            <w:pPr>
              <w:pStyle w:val="Body"/>
            </w:pPr>
            <w:r>
              <w:t xml:space="preserve">%</w:t>
            </w:r>
          </w:p>
        </w:tc>
        <w:tc>
          <w:tcPr>
            <w:tcW w:w="2000" w:type="dxa"/>
          </w:tcPr>
          <w:p>
            <w:pPr>
              <w:pStyle w:val="Body"/>
            </w:pPr>
            <w:r>
              <w:t xml:space="preserve">99,968% · 237357,348 km²</w:t>
            </w:r>
          </w:p>
        </w:tc>
        <w:tc>
          <w:tcPr>
            <w:tcW w:w="2000" w:type="dxa"/>
          </w:tcPr>
          <w:p>
            <w:pPr>
              <w:pStyle w:val="Body"/>
            </w:pPr>
            <w:r>
              <w:t xml:space="preserve">2026-09-11</w:t>
            </w:r>
          </w:p>
        </w:tc>
      </w:tr>
    </w:tbl>
    <w:p>
      <w:pPr>
        <w:pStyle w:val="Heading1"/>
      </w:pPr>
      <w:r>
        <w:t xml:space="preserve">Culturi și producție</w:t>
      </w:r>
    </w:p>
    <w:p>
      <w:pPr>
        <w:keepNext/>
        <w:pStyle w:val="Body"/>
      </w:pPr>
      <w:r>
        <w:t xml:space="preserve">România · RO · Grâu comun și speltă · 2025. Statistică oficială pentru teritoriul statistic, cultura și anul selectate separat. Unitățile, baza umidității și marcajele furnizorului sunt păstrate.</w:t>
      </w:r>
    </w:p>
    <w:tbl>
      <w:tblPr>
        <w:tblW w:w="10000" w:type="dxa"/>
        <w:tblBorders>
          <w:bottom w:val="single" w:sz="4" w:color="D9DFE8"/>
          <w:insideH w:val="single" w:sz="4" w:color="D9DFE8"/>
        </w:tblBorders>
      </w:tblPr>
      <w:tblGrid>
        <w:gridCol w:w="1666"/>
        <w:gridCol w:w="1666"/>
        <w:gridCol w:w="1666"/>
        <w:gridCol w:w="1666"/>
        <w:gridCol w:w="1666"/>
        <w:gridCol w:w="1666"/>
      </w:tblGrid>
      <w:tr>
        <w:trPr>
          <w:cantSplit/>
          <w:tblHeader/>
        </w:trPr>
        <w:tc>
          <w:tcPr>
            <w:tcW w:w="1666" w:type="dxa"/>
            <w:shd w:fill="F5F5F5"/>
          </w:tcPr>
          <w:p>
            <w:pPr>
              <w:pStyle w:val="Body"/>
              <w:keepNext/>
            </w:pPr>
            <w:r>
              <w:t xml:space="preserve">Indicator</w:t>
            </w:r>
          </w:p>
        </w:tc>
        <w:tc>
          <w:tcPr>
            <w:tcW w:w="1666" w:type="dxa"/>
            <w:shd w:fill="F5F5F5"/>
          </w:tcPr>
          <w:p>
            <w:pPr>
              <w:pStyle w:val="Body"/>
              <w:keepNext/>
            </w:pPr>
            <w:r>
              <w:t xml:space="preserve">Valoare</w:t>
            </w:r>
          </w:p>
        </w:tc>
        <w:tc>
          <w:tcPr>
            <w:tcW w:w="1666" w:type="dxa"/>
            <w:shd w:fill="F5F5F5"/>
          </w:tcPr>
          <w:p>
            <w:pPr>
              <w:pStyle w:val="Body"/>
              <w:keepNext/>
            </w:pPr>
            <w:r>
              <w:t xml:space="preserve">Unitate</w:t>
            </w:r>
          </w:p>
        </w:tc>
        <w:tc>
          <w:tcPr>
            <w:tcW w:w="1666" w:type="dxa"/>
            <w:shd w:fill="F5F5F5"/>
          </w:tcPr>
          <w:p>
            <w:pPr>
              <w:pStyle w:val="Body"/>
              <w:keepNext/>
            </w:pPr>
            <w:r>
              <w:t xml:space="preserve">Acoperire validă</w:t>
            </w:r>
          </w:p>
        </w:tc>
        <w:tc>
          <w:tcPr>
            <w:tcW w:w="1666" w:type="dxa"/>
            <w:shd w:fill="F5F5F5"/>
          </w:tcPr>
          <w:p>
            <w:pPr>
              <w:pStyle w:val="Body"/>
              <w:keepNext/>
            </w:pPr>
            <w:r>
              <w:t xml:space="preserve">Perioada datelor</w:t>
            </w:r>
          </w:p>
        </w:tc>
        <w:tc>
          <w:tcPr>
            <w:tcW w:w="1666" w:type="dxa"/>
            <w:shd w:fill="F5F5F5"/>
          </w:tcPr>
          <w:p>
            <w:pPr>
              <w:pStyle w:val="Body"/>
              <w:keepNext/>
            </w:pPr>
            <w:r>
              <w:t xml:space="preserve">Marcaje statistice și de calitate</w:t>
            </w:r>
          </w:p>
        </w:tc>
      </w:tr>
      <w:tr>
        <w:trPr>
          <w:cantSplit/>
        </w:trPr>
        <w:tc>
          <w:tcPr>
            <w:tcW w:w="1666" w:type="dxa"/>
          </w:tcPr>
          <w:p>
            <w:pPr>
              <w:pStyle w:val="Body"/>
            </w:pPr>
            <w:r>
              <w:t xml:space="preserve">Suprafață · mii ha</w:t>
            </w:r>
          </w:p>
        </w:tc>
        <w:tc>
          <w:tcPr>
            <w:tcW w:w="1666" w:type="dxa"/>
          </w:tcPr>
          <w:p>
            <w:pPr>
              <w:pStyle w:val="Body"/>
            </w:pPr>
            <w:r>
              <w:t xml:space="preserve">2294,09</w:t>
            </w:r>
          </w:p>
        </w:tc>
        <w:tc>
          <w:tcPr>
            <w:tcW w:w="1666" w:type="dxa"/>
          </w:tcPr>
          <w:p>
            <w:pPr>
              <w:pStyle w:val="Body"/>
            </w:pPr>
            <w:r>
              <w:t xml:space="preserve">mii ha</w:t>
            </w:r>
          </w:p>
        </w:tc>
        <w:tc>
          <w:tcPr>
            <w:tcW w:w="1666" w:type="dxa"/>
          </w:tcPr>
          <w:p>
            <w:pPr>
              <w:pStyle w:val="Body"/>
            </w:pPr>
            <w:r>
              <w:t xml:space="preserve">Observație publicată; marcajul furnizorului</w:t>
            </w:r>
          </w:p>
        </w:tc>
        <w:tc>
          <w:tcPr>
            <w:tcW w:w="1666" w:type="dxa"/>
          </w:tcPr>
          <w:p>
            <w:pPr>
              <w:pStyle w:val="Body"/>
            </w:pPr>
            <w:r>
              <w:t xml:space="preserve">2025</w:t>
            </w:r>
          </w:p>
        </w:tc>
        <w:tc>
          <w:tcPr>
            <w:tcW w:w="1666" w:type="dxa"/>
          </w:tcPr>
          <w:p>
            <w:pPr>
              <w:pStyle w:val="Body"/>
            </w:pPr>
            <w:r>
              <w:t xml:space="preserve"/>
            </w:r>
          </w:p>
        </w:tc>
      </w:tr>
      <w:tr>
        <w:trPr>
          <w:cantSplit/>
        </w:trPr>
        <w:tc>
          <w:tcPr>
            <w:tcW w:w="1666" w:type="dxa"/>
          </w:tcPr>
          <w:p>
            <w:pPr>
              <w:pStyle w:val="Body"/>
            </w:pPr>
            <w:r>
              <w:t xml:space="preserve">Umiditate standard UE · %</w:t>
            </w:r>
          </w:p>
        </w:tc>
        <w:tc>
          <w:tcPr>
            <w:tcW w:w="1666" w:type="dxa"/>
          </w:tcPr>
          <w:p>
            <w:pPr>
              <w:pStyle w:val="Body"/>
            </w:pPr>
            <w:r>
              <w:t xml:space="preserve">14</w:t>
            </w:r>
          </w:p>
        </w:tc>
        <w:tc>
          <w:tcPr>
            <w:tcW w:w="1666" w:type="dxa"/>
          </w:tcPr>
          <w:p>
            <w:pPr>
              <w:pStyle w:val="Body"/>
            </w:pPr>
            <w:r>
              <w:t xml:space="preserve">%</w:t>
            </w:r>
          </w:p>
        </w:tc>
        <w:tc>
          <w:tcPr>
            <w:tcW w:w="1666" w:type="dxa"/>
          </w:tcPr>
          <w:p>
            <w:pPr>
              <w:pStyle w:val="Body"/>
            </w:pPr>
            <w:r>
              <w:t xml:space="preserve">Observație publicată; marcajul furnizorului</w:t>
            </w:r>
          </w:p>
        </w:tc>
        <w:tc>
          <w:tcPr>
            <w:tcW w:w="1666" w:type="dxa"/>
          </w:tcPr>
          <w:p>
            <w:pPr>
              <w:pStyle w:val="Body"/>
            </w:pPr>
            <w:r>
              <w:t xml:space="preserve">2025</w:t>
            </w:r>
          </w:p>
        </w:tc>
        <w:tc>
          <w:tcPr>
            <w:tcW w:w="1666" w:type="dxa"/>
          </w:tcPr>
          <w:p>
            <w:pPr>
              <w:pStyle w:val="Body"/>
            </w:pPr>
            <w:r>
              <w:t xml:space="preserve"/>
            </w:r>
          </w:p>
        </w:tc>
      </w:tr>
      <w:tr>
        <w:trPr>
          <w:cantSplit/>
        </w:trPr>
        <w:tc>
          <w:tcPr>
            <w:tcW w:w="1666" w:type="dxa"/>
          </w:tcPr>
          <w:p>
            <w:pPr>
              <w:pStyle w:val="Body"/>
            </w:pPr>
            <w:r>
              <w:t xml:space="preserve">Producție la umiditate UE · mii t</w:t>
            </w:r>
          </w:p>
        </w:tc>
        <w:tc>
          <w:tcPr>
            <w:tcW w:w="1666" w:type="dxa"/>
          </w:tcPr>
          <w:p>
            <w:pPr>
              <w:pStyle w:val="Body"/>
            </w:pPr>
            <w:r>
              <w:t xml:space="preserve">12965,11</w:t>
            </w:r>
          </w:p>
        </w:tc>
        <w:tc>
          <w:tcPr>
            <w:tcW w:w="1666" w:type="dxa"/>
          </w:tcPr>
          <w:p>
            <w:pPr>
              <w:pStyle w:val="Body"/>
            </w:pPr>
            <w:r>
              <w:t xml:space="preserve">mii t</w:t>
            </w:r>
          </w:p>
        </w:tc>
        <w:tc>
          <w:tcPr>
            <w:tcW w:w="1666" w:type="dxa"/>
          </w:tcPr>
          <w:p>
            <w:pPr>
              <w:pStyle w:val="Body"/>
            </w:pPr>
            <w:r>
              <w:t xml:space="preserve">Observație publicată; marcajul furnizorului</w:t>
            </w:r>
          </w:p>
        </w:tc>
        <w:tc>
          <w:tcPr>
            <w:tcW w:w="1666" w:type="dxa"/>
          </w:tcPr>
          <w:p>
            <w:pPr>
              <w:pStyle w:val="Body"/>
            </w:pPr>
            <w:r>
              <w:t xml:space="preserve">2025</w:t>
            </w:r>
          </w:p>
        </w:tc>
        <w:tc>
          <w:tcPr>
            <w:tcW w:w="1666" w:type="dxa"/>
          </w:tcPr>
          <w:p>
            <w:pPr>
              <w:pStyle w:val="Body"/>
            </w:pPr>
            <w:r>
              <w:t xml:space="preserve"/>
            </w:r>
          </w:p>
        </w:tc>
      </w:tr>
      <w:tr>
        <w:trPr>
          <w:cantSplit/>
        </w:trPr>
        <w:tc>
          <w:tcPr>
            <w:tcW w:w="1666" w:type="dxa"/>
          </w:tcPr>
          <w:p>
            <w:pPr>
              <w:pStyle w:val="Body"/>
            </w:pPr>
            <w:r>
              <w:t xml:space="preserve">Randament la umiditate UE · t/ha</w:t>
            </w:r>
          </w:p>
        </w:tc>
        <w:tc>
          <w:tcPr>
            <w:tcW w:w="1666" w:type="dxa"/>
          </w:tcPr>
          <w:p>
            <w:pPr>
              <w:pStyle w:val="Body"/>
            </w:pPr>
            <w:r>
              <w:t xml:space="preserve">5,65</w:t>
            </w:r>
          </w:p>
        </w:tc>
        <w:tc>
          <w:tcPr>
            <w:tcW w:w="1666" w:type="dxa"/>
          </w:tcPr>
          <w:p>
            <w:pPr>
              <w:pStyle w:val="Body"/>
            </w:pPr>
            <w:r>
              <w:t xml:space="preserve">t/ha</w:t>
            </w:r>
          </w:p>
        </w:tc>
        <w:tc>
          <w:tcPr>
            <w:tcW w:w="1666" w:type="dxa"/>
          </w:tcPr>
          <w:p>
            <w:pPr>
              <w:pStyle w:val="Body"/>
            </w:pPr>
            <w:r>
              <w:t xml:space="preserve">Observație publicată; marcajul furnizorului</w:t>
            </w:r>
          </w:p>
        </w:tc>
        <w:tc>
          <w:tcPr>
            <w:tcW w:w="1666" w:type="dxa"/>
          </w:tcPr>
          <w:p>
            <w:pPr>
              <w:pStyle w:val="Body"/>
            </w:pPr>
            <w:r>
              <w:t xml:space="preserve">2025</w:t>
            </w:r>
          </w:p>
        </w:tc>
        <w:tc>
          <w:tcPr>
            <w:tcW w:w="1666" w:type="dxa"/>
          </w:tcPr>
          <w:p>
            <w:pPr>
              <w:pStyle w:val="Body"/>
            </w:pPr>
            <w:r>
              <w:t xml:space="preserve"/>
            </w:r>
          </w:p>
        </w:tc>
      </w:tr>
    </w:tbl>
    <w:p>
      <w:pPr>
        <w:pStyle w:val="Heading1"/>
      </w:pPr>
      <w:r>
        <w:t xml:space="preserve">Istoricul randamentului publicat</w:t>
      </w:r>
    </w:p>
    <w:p>
      <w:pPr>
        <w:keepNext/>
        <w:pStyle w:val="Body"/>
      </w:pPr>
      <w:r>
        <w:t xml:space="preserve"/>
      </w:r>
    </w:p>
    <w:tbl>
      <w:tblPr>
        <w:tblW w:w="10000" w:type="dxa"/>
        <w:tblBorders>
          <w:bottom w:val="single" w:sz="4" w:color="D9DFE8"/>
          <w:insideH w:val="single" w:sz="4" w:color="D9DFE8"/>
        </w:tblBorders>
      </w:tblPr>
      <w:tblGrid>
        <w:gridCol w:w="2000"/>
        <w:gridCol w:w="2000"/>
        <w:gridCol w:w="2000"/>
        <w:gridCol w:w="2000"/>
        <w:gridCol w:w="2000"/>
      </w:tblGrid>
      <w:tr>
        <w:trPr>
          <w:cantSplit/>
          <w:tblHeader/>
        </w:trPr>
        <w:tc>
          <w:tcPr>
            <w:tcW w:w="2000" w:type="dxa"/>
            <w:shd w:fill="F5F5F5"/>
          </w:tcPr>
          <w:p>
            <w:pPr>
              <w:pStyle w:val="Body"/>
              <w:keepNext/>
            </w:pPr>
            <w:r>
              <w:t xml:space="preserve">An statistic</w:t>
            </w:r>
          </w:p>
        </w:tc>
        <w:tc>
          <w:tcPr>
            <w:tcW w:w="2000" w:type="dxa"/>
            <w:shd w:fill="F5F5F5"/>
          </w:tcPr>
          <w:p>
            <w:pPr>
              <w:pStyle w:val="Body"/>
              <w:keepNext/>
            </w:pPr>
            <w:r>
              <w:t xml:space="preserve">Valoare</w:t>
            </w:r>
          </w:p>
        </w:tc>
        <w:tc>
          <w:tcPr>
            <w:tcW w:w="2000" w:type="dxa"/>
            <w:shd w:fill="F5F5F5"/>
          </w:tcPr>
          <w:p>
            <w:pPr>
              <w:pStyle w:val="Body"/>
              <w:keepNext/>
            </w:pPr>
            <w:r>
              <w:t xml:space="preserve">Unitate</w:t>
            </w:r>
          </w:p>
        </w:tc>
        <w:tc>
          <w:tcPr>
            <w:tcW w:w="2000" w:type="dxa"/>
            <w:shd w:fill="F5F5F5"/>
          </w:tcPr>
          <w:p>
            <w:pPr>
              <w:pStyle w:val="Body"/>
              <w:keepNext/>
            </w:pPr>
            <w:r>
              <w:t xml:space="preserve">Marcaje statistice și de calitate</w:t>
            </w:r>
          </w:p>
        </w:tc>
        <w:tc>
          <w:tcPr>
            <w:tcW w:w="2000" w:type="dxa"/>
            <w:shd w:fill="F5F5F5"/>
          </w:tcPr>
          <w:p>
            <w:pPr>
              <w:pStyle w:val="Body"/>
              <w:keepNext/>
            </w:pPr>
            <w:r>
              <w:t xml:space="preserve">Teritoriu statistic separat</w:t>
            </w:r>
          </w:p>
        </w:tc>
      </w:tr>
      <w:tr>
        <w:trPr>
          <w:cantSplit/>
        </w:trPr>
        <w:tc>
          <w:tcPr>
            <w:tcW w:w="2000" w:type="dxa"/>
          </w:tcPr>
          <w:p>
            <w:pPr>
              <w:pStyle w:val="Body"/>
            </w:pPr>
            <w:r>
              <w:t xml:space="preserve">2000</w:t>
            </w:r>
          </w:p>
        </w:tc>
        <w:tc>
          <w:tcPr>
            <w:tcW w:w="2000" w:type="dxa"/>
          </w:tcPr>
          <w:p>
            <w:pPr>
              <w:pStyle w:val="Body"/>
            </w:pPr>
            <w:r>
              <w:t xml:space="preserve">2,29</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2001</w:t>
            </w:r>
          </w:p>
        </w:tc>
        <w:tc>
          <w:tcPr>
            <w:tcW w:w="2000" w:type="dxa"/>
          </w:tcPr>
          <w:p>
            <w:pPr>
              <w:pStyle w:val="Body"/>
            </w:pPr>
            <w:r>
              <w:t xml:space="preserve">3,04</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2002</w:t>
            </w:r>
          </w:p>
        </w:tc>
        <w:tc>
          <w:tcPr>
            <w:tcW w:w="2000" w:type="dxa"/>
          </w:tcPr>
          <w:p>
            <w:pPr>
              <w:pStyle w:val="Body"/>
            </w:pPr>
            <w:r>
              <w:t xml:space="preserve">1,92</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2003</w:t>
            </w:r>
          </w:p>
        </w:tc>
        <w:tc>
          <w:tcPr>
            <w:tcW w:w="2000" w:type="dxa"/>
          </w:tcPr>
          <w:p>
            <w:pPr>
              <w:pStyle w:val="Body"/>
            </w:pPr>
            <w:r>
              <w:t xml:space="preserve">1,43</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2004</w:t>
            </w:r>
          </w:p>
        </w:tc>
        <w:tc>
          <w:tcPr>
            <w:tcW w:w="2000" w:type="dxa"/>
          </w:tcPr>
          <w:p>
            <w:pPr>
              <w:pStyle w:val="Body"/>
            </w:pPr>
            <w:r>
              <w:t xml:space="preserve">3,4</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2005</w:t>
            </w:r>
          </w:p>
        </w:tc>
        <w:tc>
          <w:tcPr>
            <w:tcW w:w="2000" w:type="dxa"/>
          </w:tcPr>
          <w:p>
            <w:pPr>
              <w:pStyle w:val="Body"/>
            </w:pPr>
            <w:r>
              <w:t xml:space="preserve">2,97</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2006</w:t>
            </w:r>
          </w:p>
        </w:tc>
        <w:tc>
          <w:tcPr>
            <w:tcW w:w="2000" w:type="dxa"/>
          </w:tcPr>
          <w:p>
            <w:pPr>
              <w:pStyle w:val="Body"/>
            </w:pPr>
            <w:r>
              <w:t xml:space="preserve">2,75</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2007</w:t>
            </w:r>
          </w:p>
        </w:tc>
        <w:tc>
          <w:tcPr>
            <w:tcW w:w="2000" w:type="dxa"/>
          </w:tcPr>
          <w:p>
            <w:pPr>
              <w:pStyle w:val="Body"/>
            </w:pPr>
            <w:r>
              <w:t xml:space="preserve">1,54</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2008</w:t>
            </w:r>
          </w:p>
        </w:tc>
        <w:tc>
          <w:tcPr>
            <w:tcW w:w="2000" w:type="dxa"/>
          </w:tcPr>
          <w:p>
            <w:pPr>
              <w:pStyle w:val="Body"/>
            </w:pPr>
            <w:r>
              <w:t xml:space="preserve">3,4</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2009</w:t>
            </w:r>
          </w:p>
        </w:tc>
        <w:tc>
          <w:tcPr>
            <w:tcW w:w="2000" w:type="dxa"/>
          </w:tcPr>
          <w:p>
            <w:pPr>
              <w:pStyle w:val="Body"/>
            </w:pPr>
            <w:r>
              <w:t xml:space="preserve">2,42</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2010</w:t>
            </w:r>
          </w:p>
        </w:tc>
        <w:tc>
          <w:tcPr>
            <w:tcW w:w="2000" w:type="dxa"/>
          </w:tcPr>
          <w:p>
            <w:pPr>
              <w:pStyle w:val="Body"/>
            </w:pPr>
            <w:r>
              <w:t xml:space="preserve">2,69</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2011</w:t>
            </w:r>
          </w:p>
        </w:tc>
        <w:tc>
          <w:tcPr>
            <w:tcW w:w="2000" w:type="dxa"/>
          </w:tcPr>
          <w:p>
            <w:pPr>
              <w:pStyle w:val="Body"/>
            </w:pPr>
            <w:r>
              <w:t xml:space="preserve">3,66</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2012</w:t>
            </w:r>
          </w:p>
        </w:tc>
        <w:tc>
          <w:tcPr>
            <w:tcW w:w="2000" w:type="dxa"/>
          </w:tcPr>
          <w:p>
            <w:pPr>
              <w:pStyle w:val="Body"/>
            </w:pPr>
            <w:r>
              <w:t xml:space="preserve">2,65</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2013</w:t>
            </w:r>
          </w:p>
        </w:tc>
        <w:tc>
          <w:tcPr>
            <w:tcW w:w="2000" w:type="dxa"/>
          </w:tcPr>
          <w:p>
            <w:pPr>
              <w:pStyle w:val="Body"/>
            </w:pPr>
            <w:r>
              <w:t xml:space="preserve">3,47</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2014</w:t>
            </w:r>
          </w:p>
        </w:tc>
        <w:tc>
          <w:tcPr>
            <w:tcW w:w="2000" w:type="dxa"/>
          </w:tcPr>
          <w:p>
            <w:pPr>
              <w:pStyle w:val="Body"/>
            </w:pPr>
            <w:r>
              <w:t xml:space="preserve">3,59</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2015</w:t>
            </w:r>
          </w:p>
        </w:tc>
        <w:tc>
          <w:tcPr>
            <w:tcW w:w="2000" w:type="dxa"/>
          </w:tcPr>
          <w:p>
            <w:pPr>
              <w:pStyle w:val="Body"/>
            </w:pPr>
            <w:r>
              <w:t xml:space="preserve">3,78</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2016</w:t>
            </w:r>
          </w:p>
        </w:tc>
        <w:tc>
          <w:tcPr>
            <w:tcW w:w="2000" w:type="dxa"/>
          </w:tcPr>
          <w:p>
            <w:pPr>
              <w:pStyle w:val="Body"/>
            </w:pPr>
            <w:r>
              <w:t xml:space="preserve">3,95</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2017</w:t>
            </w:r>
          </w:p>
        </w:tc>
        <w:tc>
          <w:tcPr>
            <w:tcW w:w="2000" w:type="dxa"/>
          </w:tcPr>
          <w:p>
            <w:pPr>
              <w:pStyle w:val="Body"/>
            </w:pPr>
            <w:r>
              <w:t xml:space="preserve">4,89</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2018</w:t>
            </w:r>
          </w:p>
        </w:tc>
        <w:tc>
          <w:tcPr>
            <w:tcW w:w="2000" w:type="dxa"/>
          </w:tcPr>
          <w:p>
            <w:pPr>
              <w:pStyle w:val="Body"/>
            </w:pPr>
            <w:r>
              <w:t xml:space="preserve">4,8</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2019</w:t>
            </w:r>
          </w:p>
        </w:tc>
        <w:tc>
          <w:tcPr>
            <w:tcW w:w="2000" w:type="dxa"/>
          </w:tcPr>
          <w:p>
            <w:pPr>
              <w:pStyle w:val="Body"/>
            </w:pPr>
            <w:r>
              <w:t xml:space="preserve">4,75</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2020</w:t>
            </w:r>
          </w:p>
        </w:tc>
        <w:tc>
          <w:tcPr>
            <w:tcW w:w="2000" w:type="dxa"/>
          </w:tcPr>
          <w:p>
            <w:pPr>
              <w:pStyle w:val="Body"/>
            </w:pPr>
            <w:r>
              <w:t xml:space="preserve">2,97</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2021</w:t>
            </w:r>
          </w:p>
        </w:tc>
        <w:tc>
          <w:tcPr>
            <w:tcW w:w="2000" w:type="dxa"/>
          </w:tcPr>
          <w:p>
            <w:pPr>
              <w:pStyle w:val="Body"/>
            </w:pPr>
            <w:r>
              <w:t xml:space="preserve">4,8</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2022</w:t>
            </w:r>
          </w:p>
        </w:tc>
        <w:tc>
          <w:tcPr>
            <w:tcW w:w="2000" w:type="dxa"/>
          </w:tcPr>
          <w:p>
            <w:pPr>
              <w:pStyle w:val="Body"/>
            </w:pPr>
            <w:r>
              <w:t xml:space="preserve">4,01</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2023</w:t>
            </w:r>
          </w:p>
        </w:tc>
        <w:tc>
          <w:tcPr>
            <w:tcW w:w="2000" w:type="dxa"/>
          </w:tcPr>
          <w:p>
            <w:pPr>
              <w:pStyle w:val="Body"/>
            </w:pPr>
            <w:r>
              <w:t xml:space="preserve">4,16</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2024</w:t>
            </w:r>
          </w:p>
        </w:tc>
        <w:tc>
          <w:tcPr>
            <w:tcW w:w="2000" w:type="dxa"/>
          </w:tcPr>
          <w:p>
            <w:pPr>
              <w:pStyle w:val="Body"/>
            </w:pPr>
            <w:r>
              <w:t xml:space="preserve">4,09</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2025</w:t>
            </w:r>
          </w:p>
        </w:tc>
        <w:tc>
          <w:tcPr>
            <w:tcW w:w="2000" w:type="dxa"/>
          </w:tcPr>
          <w:p>
            <w:pPr>
              <w:pStyle w:val="Body"/>
            </w:pPr>
            <w:r>
              <w:t xml:space="preserve">5,65</w:t>
            </w:r>
          </w:p>
        </w:tc>
        <w:tc>
          <w:tcPr>
            <w:tcW w:w="2000" w:type="dxa"/>
          </w:tcPr>
          <w:p>
            <w:pPr>
              <w:pStyle w:val="Body"/>
            </w:pPr>
            <w:r>
              <w:t xml:space="preserve">t/ha</w:t>
            </w:r>
          </w:p>
        </w:tc>
        <w:tc>
          <w:tcPr>
            <w:tcW w:w="2000" w:type="dxa"/>
          </w:tcPr>
          <w:p>
            <w:pPr>
              <w:pStyle w:val="Body"/>
            </w:pPr>
            <w:r>
              <w:t xml:space="preserve"/>
            </w:r>
          </w:p>
        </w:tc>
        <w:tc>
          <w:tcPr>
            <w:tcW w:w="2000" w:type="dxa"/>
          </w:tcPr>
          <w:p>
            <w:pPr>
              <w:pStyle w:val="Body"/>
            </w:pPr>
            <w:r>
              <w:t xml:space="preserve">RO</w:t>
            </w:r>
          </w:p>
        </w:tc>
      </w:tr>
    </w:tbl>
    <w:p>
      <w:pPr>
        <w:pStyle w:val="Heading1"/>
      </w:pPr>
      <w:r>
        <w:t xml:space="preserve">Istoricul producției publicate</w:t>
      </w:r>
    </w:p>
    <w:p>
      <w:pPr>
        <w:keepNext/>
        <w:pStyle w:val="Body"/>
      </w:pPr>
      <w:r>
        <w:t xml:space="preserve">Observații originale până la anul selectat, cu unitățile și marcajele furnizorului. Producția folosește umiditatea standard UE. Nu se deduce randamentul prin împărțirea producției la suprafață.</w:t>
      </w:r>
    </w:p>
    <w:tbl>
      <w:tblPr>
        <w:tblW w:w="10000" w:type="dxa"/>
        <w:tblBorders>
          <w:bottom w:val="single" w:sz="4" w:color="D9DFE8"/>
          <w:insideH w:val="single" w:sz="4" w:color="D9DFE8"/>
        </w:tblBorders>
      </w:tblPr>
      <w:tblGrid>
        <w:gridCol w:w="2000"/>
        <w:gridCol w:w="2000"/>
        <w:gridCol w:w="2000"/>
        <w:gridCol w:w="2000"/>
        <w:gridCol w:w="2000"/>
      </w:tblGrid>
      <w:tr>
        <w:trPr>
          <w:cantSplit/>
          <w:tblHeader/>
        </w:trPr>
        <w:tc>
          <w:tcPr>
            <w:tcW w:w="2000" w:type="dxa"/>
            <w:shd w:fill="F5F5F5"/>
          </w:tcPr>
          <w:p>
            <w:pPr>
              <w:pStyle w:val="Body"/>
              <w:keepNext/>
            </w:pPr>
            <w:r>
              <w:t xml:space="preserve">An statistic</w:t>
            </w:r>
          </w:p>
        </w:tc>
        <w:tc>
          <w:tcPr>
            <w:tcW w:w="2000" w:type="dxa"/>
            <w:shd w:fill="F5F5F5"/>
          </w:tcPr>
          <w:p>
            <w:pPr>
              <w:pStyle w:val="Body"/>
              <w:keepNext/>
            </w:pPr>
            <w:r>
              <w:t xml:space="preserve">Valoare</w:t>
            </w:r>
          </w:p>
        </w:tc>
        <w:tc>
          <w:tcPr>
            <w:tcW w:w="2000" w:type="dxa"/>
            <w:shd w:fill="F5F5F5"/>
          </w:tcPr>
          <w:p>
            <w:pPr>
              <w:pStyle w:val="Body"/>
              <w:keepNext/>
            </w:pPr>
            <w:r>
              <w:t xml:space="preserve">Unitate</w:t>
            </w:r>
          </w:p>
        </w:tc>
        <w:tc>
          <w:tcPr>
            <w:tcW w:w="2000" w:type="dxa"/>
            <w:shd w:fill="F5F5F5"/>
          </w:tcPr>
          <w:p>
            <w:pPr>
              <w:pStyle w:val="Body"/>
              <w:keepNext/>
            </w:pPr>
            <w:r>
              <w:t xml:space="preserve">Marcaje statistice și de calitate</w:t>
            </w:r>
          </w:p>
        </w:tc>
        <w:tc>
          <w:tcPr>
            <w:tcW w:w="2000" w:type="dxa"/>
            <w:shd w:fill="F5F5F5"/>
          </w:tcPr>
          <w:p>
            <w:pPr>
              <w:pStyle w:val="Body"/>
              <w:keepNext/>
            </w:pPr>
            <w:r>
              <w:t xml:space="preserve">Teritoriu statistic separat</w:t>
            </w:r>
          </w:p>
        </w:tc>
      </w:tr>
      <w:tr>
        <w:trPr>
          <w:cantSplit/>
        </w:trPr>
        <w:tc>
          <w:tcPr>
            <w:tcW w:w="2000" w:type="dxa"/>
          </w:tcPr>
          <w:p>
            <w:pPr>
              <w:pStyle w:val="Body"/>
            </w:pPr>
            <w:r>
              <w:t xml:space="preserve">2000</w:t>
            </w:r>
          </w:p>
        </w:tc>
        <w:tc>
          <w:tcPr>
            <w:tcW w:w="2000" w:type="dxa"/>
          </w:tcPr>
          <w:p>
            <w:pPr>
              <w:pStyle w:val="Body"/>
            </w:pPr>
            <w:r>
              <w:t xml:space="preserve">4430,67</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2001</w:t>
            </w:r>
          </w:p>
        </w:tc>
        <w:tc>
          <w:tcPr>
            <w:tcW w:w="2000" w:type="dxa"/>
          </w:tcPr>
          <w:p>
            <w:pPr>
              <w:pStyle w:val="Body"/>
            </w:pPr>
            <w:r>
              <w:t xml:space="preserve">7725,42</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2002</w:t>
            </w:r>
          </w:p>
        </w:tc>
        <w:tc>
          <w:tcPr>
            <w:tcW w:w="2000" w:type="dxa"/>
          </w:tcPr>
          <w:p>
            <w:pPr>
              <w:pStyle w:val="Body"/>
            </w:pPr>
            <w:r>
              <w:t xml:space="preserve">4412,55</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2003</w:t>
            </w:r>
          </w:p>
        </w:tc>
        <w:tc>
          <w:tcPr>
            <w:tcW w:w="2000" w:type="dxa"/>
          </w:tcPr>
          <w:p>
            <w:pPr>
              <w:pStyle w:val="Body"/>
            </w:pPr>
            <w:r>
              <w:t xml:space="preserve">2477,43</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2004</w:t>
            </w:r>
          </w:p>
        </w:tc>
        <w:tc>
          <w:tcPr>
            <w:tcW w:w="2000" w:type="dxa"/>
          </w:tcPr>
          <w:p>
            <w:pPr>
              <w:pStyle w:val="Body"/>
            </w:pPr>
            <w:r>
              <w:t xml:space="preserve">7798,05</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2005</w:t>
            </w:r>
          </w:p>
        </w:tc>
        <w:tc>
          <w:tcPr>
            <w:tcW w:w="2000" w:type="dxa"/>
          </w:tcPr>
          <w:p>
            <w:pPr>
              <w:pStyle w:val="Body"/>
            </w:pPr>
            <w:r>
              <w:t xml:space="preserve">7330,5</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2006</w:t>
            </w:r>
          </w:p>
        </w:tc>
        <w:tc>
          <w:tcPr>
            <w:tcW w:w="2000" w:type="dxa"/>
          </w:tcPr>
          <w:p>
            <w:pPr>
              <w:pStyle w:val="Body"/>
            </w:pPr>
            <w:r>
              <w:t xml:space="preserve">5517,75</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2007</w:t>
            </w:r>
          </w:p>
        </w:tc>
        <w:tc>
          <w:tcPr>
            <w:tcW w:w="2000" w:type="dxa"/>
          </w:tcPr>
          <w:p>
            <w:pPr>
              <w:pStyle w:val="Body"/>
            </w:pPr>
            <w:r>
              <w:t xml:space="preserve">3043,17</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2008</w:t>
            </w:r>
          </w:p>
        </w:tc>
        <w:tc>
          <w:tcPr>
            <w:tcW w:w="2000" w:type="dxa"/>
          </w:tcPr>
          <w:p>
            <w:pPr>
              <w:pStyle w:val="Body"/>
            </w:pPr>
            <w:r>
              <w:t xml:space="preserve">7176,03</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2009</w:t>
            </w:r>
          </w:p>
        </w:tc>
        <w:tc>
          <w:tcPr>
            <w:tcW w:w="2000" w:type="dxa"/>
          </w:tcPr>
          <w:p>
            <w:pPr>
              <w:pStyle w:val="Body"/>
            </w:pPr>
            <w:r>
              <w:t xml:space="preserve">5186,74</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2010</w:t>
            </w:r>
          </w:p>
        </w:tc>
        <w:tc>
          <w:tcPr>
            <w:tcW w:w="2000" w:type="dxa"/>
          </w:tcPr>
          <w:p>
            <w:pPr>
              <w:pStyle w:val="Body"/>
            </w:pPr>
            <w:r>
              <w:t xml:space="preserve">5783,57</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2011</w:t>
            </w:r>
          </w:p>
        </w:tc>
        <w:tc>
          <w:tcPr>
            <w:tcW w:w="2000" w:type="dxa"/>
          </w:tcPr>
          <w:p>
            <w:pPr>
              <w:pStyle w:val="Body"/>
            </w:pPr>
            <w:r>
              <w:t xml:space="preserve">7116,93</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2012</w:t>
            </w:r>
          </w:p>
        </w:tc>
        <w:tc>
          <w:tcPr>
            <w:tcW w:w="2000" w:type="dxa"/>
          </w:tcPr>
          <w:p>
            <w:pPr>
              <w:pStyle w:val="Body"/>
            </w:pPr>
            <w:r>
              <w:t xml:space="preserve">5275,63</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2013</w:t>
            </w:r>
          </w:p>
        </w:tc>
        <w:tc>
          <w:tcPr>
            <w:tcW w:w="2000" w:type="dxa"/>
          </w:tcPr>
          <w:p>
            <w:pPr>
              <w:pStyle w:val="Body"/>
            </w:pPr>
            <w:r>
              <w:t xml:space="preserve">7283,62</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2014</w:t>
            </w:r>
          </w:p>
        </w:tc>
        <w:tc>
          <w:tcPr>
            <w:tcW w:w="2000" w:type="dxa"/>
          </w:tcPr>
          <w:p>
            <w:pPr>
              <w:pStyle w:val="Body"/>
            </w:pPr>
            <w:r>
              <w:t xml:space="preserve">7565,41</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2015</w:t>
            </w:r>
          </w:p>
        </w:tc>
        <w:tc>
          <w:tcPr>
            <w:tcW w:w="2000" w:type="dxa"/>
          </w:tcPr>
          <w:p>
            <w:pPr>
              <w:pStyle w:val="Body"/>
            </w:pPr>
            <w:r>
              <w:t xml:space="preserve">7954,51</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2016</w:t>
            </w:r>
          </w:p>
        </w:tc>
        <w:tc>
          <w:tcPr>
            <w:tcW w:w="2000" w:type="dxa"/>
          </w:tcPr>
          <w:p>
            <w:pPr>
              <w:pStyle w:val="Body"/>
            </w:pPr>
            <w:r>
              <w:t xml:space="preserve">8406,48</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2017</w:t>
            </w:r>
          </w:p>
        </w:tc>
        <w:tc>
          <w:tcPr>
            <w:tcW w:w="2000" w:type="dxa"/>
          </w:tcPr>
          <w:p>
            <w:pPr>
              <w:pStyle w:val="Body"/>
            </w:pPr>
            <w:r>
              <w:t xml:space="preserve">10014,38</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2018</w:t>
            </w:r>
          </w:p>
        </w:tc>
        <w:tc>
          <w:tcPr>
            <w:tcW w:w="2000" w:type="dxa"/>
          </w:tcPr>
          <w:p>
            <w:pPr>
              <w:pStyle w:val="Body"/>
            </w:pPr>
            <w:r>
              <w:t xml:space="preserve">10122,91</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2019</w:t>
            </w:r>
          </w:p>
        </w:tc>
        <w:tc>
          <w:tcPr>
            <w:tcW w:w="2000" w:type="dxa"/>
          </w:tcPr>
          <w:p>
            <w:pPr>
              <w:pStyle w:val="Body"/>
            </w:pPr>
            <w:r>
              <w:t xml:space="preserve">10280,58</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2020</w:t>
            </w:r>
          </w:p>
        </w:tc>
        <w:tc>
          <w:tcPr>
            <w:tcW w:w="2000" w:type="dxa"/>
          </w:tcPr>
          <w:p>
            <w:pPr>
              <w:pStyle w:val="Body"/>
            </w:pPr>
            <w:r>
              <w:t xml:space="preserve">6381,69</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2021</w:t>
            </w:r>
          </w:p>
        </w:tc>
        <w:tc>
          <w:tcPr>
            <w:tcW w:w="2000" w:type="dxa"/>
          </w:tcPr>
          <w:p>
            <w:pPr>
              <w:pStyle w:val="Body"/>
            </w:pPr>
            <w:r>
              <w:t xml:space="preserve">10404,08</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2022</w:t>
            </w:r>
          </w:p>
        </w:tc>
        <w:tc>
          <w:tcPr>
            <w:tcW w:w="2000" w:type="dxa"/>
          </w:tcPr>
          <w:p>
            <w:pPr>
              <w:pStyle w:val="Body"/>
            </w:pPr>
            <w:r>
              <w:t xml:space="preserve">8661,22</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2023</w:t>
            </w:r>
          </w:p>
        </w:tc>
        <w:tc>
          <w:tcPr>
            <w:tcW w:w="2000" w:type="dxa"/>
          </w:tcPr>
          <w:p>
            <w:pPr>
              <w:pStyle w:val="Body"/>
            </w:pPr>
            <w:r>
              <w:t xml:space="preserve">9602,34</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2024</w:t>
            </w:r>
          </w:p>
        </w:tc>
        <w:tc>
          <w:tcPr>
            <w:tcW w:w="2000" w:type="dxa"/>
          </w:tcPr>
          <w:p>
            <w:pPr>
              <w:pStyle w:val="Body"/>
            </w:pPr>
            <w:r>
              <w:t xml:space="preserve">9259,21</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2025</w:t>
            </w:r>
          </w:p>
        </w:tc>
        <w:tc>
          <w:tcPr>
            <w:tcW w:w="2000" w:type="dxa"/>
          </w:tcPr>
          <w:p>
            <w:pPr>
              <w:pStyle w:val="Body"/>
            </w:pPr>
            <w:r>
              <w:t xml:space="preserve">12965,11</w:t>
            </w:r>
          </w:p>
        </w:tc>
        <w:tc>
          <w:tcPr>
            <w:tcW w:w="2000" w:type="dxa"/>
          </w:tcPr>
          <w:p>
            <w:pPr>
              <w:pStyle w:val="Body"/>
            </w:pPr>
            <w:r>
              <w:t xml:space="preserve">mii t</w:t>
            </w:r>
          </w:p>
        </w:tc>
        <w:tc>
          <w:tcPr>
            <w:tcW w:w="2000" w:type="dxa"/>
          </w:tcPr>
          <w:p>
            <w:pPr>
              <w:pStyle w:val="Body"/>
            </w:pPr>
            <w:r>
              <w:t xml:space="preserve"/>
            </w:r>
          </w:p>
        </w:tc>
        <w:tc>
          <w:tcPr>
            <w:tcW w:w="2000" w:type="dxa"/>
          </w:tcPr>
          <w:p>
            <w:pPr>
              <w:pStyle w:val="Body"/>
            </w:pPr>
            <w:r>
              <w:t xml:space="preserve">RO</w:t>
            </w:r>
          </w:p>
        </w:tc>
      </w:tr>
    </w:tbl>
    <w:p>
      <w:pPr>
        <w:pStyle w:val="Heading1"/>
      </w:pPr>
      <w:r>
        <w:t xml:space="preserve">Istoricul suprafeței cultivate</w:t>
      </w:r>
    </w:p>
    <w:p>
      <w:pPr>
        <w:keepNext/>
        <w:pStyle w:val="Body"/>
      </w:pPr>
      <w:r>
        <w:t xml:space="preserve">Observații originale până la anul selectat, cu unitățile și marcajele furnizorului. Producția folosește umiditatea standard UE. Nu se deduce randamentul prin împărțirea producției la suprafață.</w:t>
      </w:r>
    </w:p>
    <w:tbl>
      <w:tblPr>
        <w:tblW w:w="10000" w:type="dxa"/>
        <w:tblBorders>
          <w:bottom w:val="single" w:sz="4" w:color="D9DFE8"/>
          <w:insideH w:val="single" w:sz="4" w:color="D9DFE8"/>
        </w:tblBorders>
      </w:tblPr>
      <w:tblGrid>
        <w:gridCol w:w="2000"/>
        <w:gridCol w:w="2000"/>
        <w:gridCol w:w="2000"/>
        <w:gridCol w:w="2000"/>
        <w:gridCol w:w="2000"/>
      </w:tblGrid>
      <w:tr>
        <w:trPr>
          <w:cantSplit/>
          <w:tblHeader/>
        </w:trPr>
        <w:tc>
          <w:tcPr>
            <w:tcW w:w="2000" w:type="dxa"/>
            <w:shd w:fill="F5F5F5"/>
          </w:tcPr>
          <w:p>
            <w:pPr>
              <w:pStyle w:val="Body"/>
              <w:keepNext/>
            </w:pPr>
            <w:r>
              <w:t xml:space="preserve">An statistic</w:t>
            </w:r>
          </w:p>
        </w:tc>
        <w:tc>
          <w:tcPr>
            <w:tcW w:w="2000" w:type="dxa"/>
            <w:shd w:fill="F5F5F5"/>
          </w:tcPr>
          <w:p>
            <w:pPr>
              <w:pStyle w:val="Body"/>
              <w:keepNext/>
            </w:pPr>
            <w:r>
              <w:t xml:space="preserve">Valoare</w:t>
            </w:r>
          </w:p>
        </w:tc>
        <w:tc>
          <w:tcPr>
            <w:tcW w:w="2000" w:type="dxa"/>
            <w:shd w:fill="F5F5F5"/>
          </w:tcPr>
          <w:p>
            <w:pPr>
              <w:pStyle w:val="Body"/>
              <w:keepNext/>
            </w:pPr>
            <w:r>
              <w:t xml:space="preserve">Unitate</w:t>
            </w:r>
          </w:p>
        </w:tc>
        <w:tc>
          <w:tcPr>
            <w:tcW w:w="2000" w:type="dxa"/>
            <w:shd w:fill="F5F5F5"/>
          </w:tcPr>
          <w:p>
            <w:pPr>
              <w:pStyle w:val="Body"/>
              <w:keepNext/>
            </w:pPr>
            <w:r>
              <w:t xml:space="preserve">Marcaje statistice și de calitate</w:t>
            </w:r>
          </w:p>
        </w:tc>
        <w:tc>
          <w:tcPr>
            <w:tcW w:w="2000" w:type="dxa"/>
            <w:shd w:fill="F5F5F5"/>
          </w:tcPr>
          <w:p>
            <w:pPr>
              <w:pStyle w:val="Body"/>
              <w:keepNext/>
            </w:pPr>
            <w:r>
              <w:t xml:space="preserve">Teritoriu statistic separat</w:t>
            </w:r>
          </w:p>
        </w:tc>
      </w:tr>
      <w:tr>
        <w:trPr>
          <w:cantSplit/>
        </w:trPr>
        <w:tc>
          <w:tcPr>
            <w:tcW w:w="2000" w:type="dxa"/>
          </w:tcPr>
          <w:p>
            <w:pPr>
              <w:pStyle w:val="Body"/>
            </w:pPr>
            <w:r>
              <w:t xml:space="preserve">2000</w:t>
            </w:r>
          </w:p>
        </w:tc>
        <w:tc>
          <w:tcPr>
            <w:tcW w:w="2000" w:type="dxa"/>
          </w:tcPr>
          <w:p>
            <w:pPr>
              <w:pStyle w:val="Body"/>
            </w:pPr>
            <w:r>
              <w:t xml:space="preserve">1937,9</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2001</w:t>
            </w:r>
          </w:p>
        </w:tc>
        <w:tc>
          <w:tcPr>
            <w:tcW w:w="2000" w:type="dxa"/>
          </w:tcPr>
          <w:p>
            <w:pPr>
              <w:pStyle w:val="Body"/>
            </w:pPr>
            <w:r>
              <w:t xml:space="preserve">2543,21</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2002</w:t>
            </w:r>
          </w:p>
        </w:tc>
        <w:tc>
          <w:tcPr>
            <w:tcW w:w="2000" w:type="dxa"/>
          </w:tcPr>
          <w:p>
            <w:pPr>
              <w:pStyle w:val="Body"/>
            </w:pPr>
            <w:r>
              <w:t xml:space="preserve">2294,47</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2003</w:t>
            </w:r>
          </w:p>
        </w:tc>
        <w:tc>
          <w:tcPr>
            <w:tcW w:w="2000" w:type="dxa"/>
          </w:tcPr>
          <w:p>
            <w:pPr>
              <w:pStyle w:val="Body"/>
            </w:pPr>
            <w:r>
              <w:t xml:space="preserve">1733,93</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2004</w:t>
            </w:r>
          </w:p>
        </w:tc>
        <w:tc>
          <w:tcPr>
            <w:tcW w:w="2000" w:type="dxa"/>
          </w:tcPr>
          <w:p>
            <w:pPr>
              <w:pStyle w:val="Body"/>
            </w:pPr>
            <w:r>
              <w:t xml:space="preserve">2291,91</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2005</w:t>
            </w:r>
          </w:p>
        </w:tc>
        <w:tc>
          <w:tcPr>
            <w:tcW w:w="2000" w:type="dxa"/>
          </w:tcPr>
          <w:p>
            <w:pPr>
              <w:pStyle w:val="Body"/>
            </w:pPr>
            <w:r>
              <w:t xml:space="preserve">2472,33</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2006</w:t>
            </w:r>
          </w:p>
        </w:tc>
        <w:tc>
          <w:tcPr>
            <w:tcW w:w="2000" w:type="dxa"/>
          </w:tcPr>
          <w:p>
            <w:pPr>
              <w:pStyle w:val="Body"/>
            </w:pPr>
            <w:r>
              <w:t xml:space="preserve">2009,01</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2007</w:t>
            </w:r>
          </w:p>
        </w:tc>
        <w:tc>
          <w:tcPr>
            <w:tcW w:w="2000" w:type="dxa"/>
          </w:tcPr>
          <w:p>
            <w:pPr>
              <w:pStyle w:val="Body"/>
            </w:pPr>
            <w:r>
              <w:t xml:space="preserve">1973,27</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2008</w:t>
            </w:r>
          </w:p>
        </w:tc>
        <w:tc>
          <w:tcPr>
            <w:tcW w:w="2000" w:type="dxa"/>
          </w:tcPr>
          <w:p>
            <w:pPr>
              <w:pStyle w:val="Body"/>
            </w:pPr>
            <w:r>
              <w:t xml:space="preserve">2108,61</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2009</w:t>
            </w:r>
          </w:p>
        </w:tc>
        <w:tc>
          <w:tcPr>
            <w:tcW w:w="2000" w:type="dxa"/>
          </w:tcPr>
          <w:p>
            <w:pPr>
              <w:pStyle w:val="Body"/>
            </w:pPr>
            <w:r>
              <w:t xml:space="preserve">2140,61</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2010</w:t>
            </w:r>
          </w:p>
        </w:tc>
        <w:tc>
          <w:tcPr>
            <w:tcW w:w="2000" w:type="dxa"/>
          </w:tcPr>
          <w:p>
            <w:pPr>
              <w:pStyle w:val="Body"/>
            </w:pPr>
            <w:r>
              <w:t xml:space="preserve">2149,88</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2011</w:t>
            </w:r>
          </w:p>
        </w:tc>
        <w:tc>
          <w:tcPr>
            <w:tcW w:w="2000" w:type="dxa"/>
          </w:tcPr>
          <w:p>
            <w:pPr>
              <w:pStyle w:val="Body"/>
            </w:pPr>
            <w:r>
              <w:t xml:space="preserve">1942,33</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2012</w:t>
            </w:r>
          </w:p>
        </w:tc>
        <w:tc>
          <w:tcPr>
            <w:tcW w:w="2000" w:type="dxa"/>
          </w:tcPr>
          <w:p>
            <w:pPr>
              <w:pStyle w:val="Body"/>
            </w:pPr>
            <w:r>
              <w:t xml:space="preserve">1988,7</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2013</w:t>
            </w:r>
          </w:p>
        </w:tc>
        <w:tc>
          <w:tcPr>
            <w:tcW w:w="2000" w:type="dxa"/>
          </w:tcPr>
          <w:p>
            <w:pPr>
              <w:pStyle w:val="Body"/>
            </w:pPr>
            <w:r>
              <w:t xml:space="preserve">2099,74</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2014</w:t>
            </w:r>
          </w:p>
        </w:tc>
        <w:tc>
          <w:tcPr>
            <w:tcW w:w="2000" w:type="dxa"/>
          </w:tcPr>
          <w:p>
            <w:pPr>
              <w:pStyle w:val="Body"/>
            </w:pPr>
            <w:r>
              <w:t xml:space="preserve">2108,89</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2015</w:t>
            </w:r>
          </w:p>
        </w:tc>
        <w:tc>
          <w:tcPr>
            <w:tcW w:w="2000" w:type="dxa"/>
          </w:tcPr>
          <w:p>
            <w:pPr>
              <w:pStyle w:val="Body"/>
            </w:pPr>
            <w:r>
              <w:t xml:space="preserve">2103,82</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2016</w:t>
            </w:r>
          </w:p>
        </w:tc>
        <w:tc>
          <w:tcPr>
            <w:tcW w:w="2000" w:type="dxa"/>
          </w:tcPr>
          <w:p>
            <w:pPr>
              <w:pStyle w:val="Body"/>
            </w:pPr>
            <w:r>
              <w:t xml:space="preserve">2130,71</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2017</w:t>
            </w:r>
          </w:p>
        </w:tc>
        <w:tc>
          <w:tcPr>
            <w:tcW w:w="2000" w:type="dxa"/>
          </w:tcPr>
          <w:p>
            <w:pPr>
              <w:pStyle w:val="Body"/>
            </w:pPr>
            <w:r>
              <w:t xml:space="preserve">2048,13</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2018</w:t>
            </w:r>
          </w:p>
        </w:tc>
        <w:tc>
          <w:tcPr>
            <w:tcW w:w="2000" w:type="dxa"/>
          </w:tcPr>
          <w:p>
            <w:pPr>
              <w:pStyle w:val="Body"/>
            </w:pPr>
            <w:r>
              <w:t xml:space="preserve">2110,52</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2019</w:t>
            </w:r>
          </w:p>
        </w:tc>
        <w:tc>
          <w:tcPr>
            <w:tcW w:w="2000" w:type="dxa"/>
          </w:tcPr>
          <w:p>
            <w:pPr>
              <w:pStyle w:val="Body"/>
            </w:pPr>
            <w:r>
              <w:t xml:space="preserve">2162,64</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2020</w:t>
            </w:r>
          </w:p>
        </w:tc>
        <w:tc>
          <w:tcPr>
            <w:tcW w:w="2000" w:type="dxa"/>
          </w:tcPr>
          <w:p>
            <w:pPr>
              <w:pStyle w:val="Body"/>
            </w:pPr>
            <w:r>
              <w:t xml:space="preserve">2150,99</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2021</w:t>
            </w:r>
          </w:p>
        </w:tc>
        <w:tc>
          <w:tcPr>
            <w:tcW w:w="2000" w:type="dxa"/>
          </w:tcPr>
          <w:p>
            <w:pPr>
              <w:pStyle w:val="Body"/>
            </w:pPr>
            <w:r>
              <w:t xml:space="preserve">2167,72</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2022</w:t>
            </w:r>
          </w:p>
        </w:tc>
        <w:tc>
          <w:tcPr>
            <w:tcW w:w="2000" w:type="dxa"/>
          </w:tcPr>
          <w:p>
            <w:pPr>
              <w:pStyle w:val="Body"/>
            </w:pPr>
            <w:r>
              <w:t xml:space="preserve">2162,1</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2023</w:t>
            </w:r>
          </w:p>
        </w:tc>
        <w:tc>
          <w:tcPr>
            <w:tcW w:w="2000" w:type="dxa"/>
          </w:tcPr>
          <w:p>
            <w:pPr>
              <w:pStyle w:val="Body"/>
            </w:pPr>
            <w:r>
              <w:t xml:space="preserve">2311,1</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2024</w:t>
            </w:r>
          </w:p>
        </w:tc>
        <w:tc>
          <w:tcPr>
            <w:tcW w:w="2000" w:type="dxa"/>
          </w:tcPr>
          <w:p>
            <w:pPr>
              <w:pStyle w:val="Body"/>
            </w:pPr>
            <w:r>
              <w:t xml:space="preserve">2263,5</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r>
        <w:trPr>
          <w:cantSplit/>
        </w:trPr>
        <w:tc>
          <w:tcPr>
            <w:tcW w:w="2000" w:type="dxa"/>
          </w:tcPr>
          <w:p>
            <w:pPr>
              <w:pStyle w:val="Body"/>
            </w:pPr>
            <w:r>
              <w:t xml:space="preserve">2025</w:t>
            </w:r>
          </w:p>
        </w:tc>
        <w:tc>
          <w:tcPr>
            <w:tcW w:w="2000" w:type="dxa"/>
          </w:tcPr>
          <w:p>
            <w:pPr>
              <w:pStyle w:val="Body"/>
            </w:pPr>
            <w:r>
              <w:t xml:space="preserve">2294,09</w:t>
            </w:r>
          </w:p>
        </w:tc>
        <w:tc>
          <w:tcPr>
            <w:tcW w:w="2000" w:type="dxa"/>
          </w:tcPr>
          <w:p>
            <w:pPr>
              <w:pStyle w:val="Body"/>
            </w:pPr>
            <w:r>
              <w:t xml:space="preserve">mii ha</w:t>
            </w:r>
          </w:p>
        </w:tc>
        <w:tc>
          <w:tcPr>
            <w:tcW w:w="2000" w:type="dxa"/>
          </w:tcPr>
          <w:p>
            <w:pPr>
              <w:pStyle w:val="Body"/>
            </w:pPr>
            <w:r>
              <w:t xml:space="preserve"/>
            </w:r>
          </w:p>
        </w:tc>
        <w:tc>
          <w:tcPr>
            <w:tcW w:w="2000" w:type="dxa"/>
          </w:tcPr>
          <w:p>
            <w:pPr>
              <w:pStyle w:val="Body"/>
            </w:pPr>
            <w:r>
              <w:t xml:space="preserve">RO</w:t>
            </w:r>
          </w:p>
        </w:tc>
      </w:tr>
    </w:tbl>
    <w:p>
      <w:pPr>
        <w:pStyle w:val="Heading1"/>
      </w:pPr>
      <w:r>
        <w:t xml:space="preserve">Indisponibil în această versiune</w:t>
      </w:r>
    </w:p>
    <w:p>
      <w:pPr>
        <w:keepNext/>
        <w:pStyle w:val="Body"/>
      </w:pPr>
      <w:r>
        <w:t xml:space="preserve"/>
      </w:r>
    </w:p>
    <w:tbl>
      <w:tblPr>
        <w:tblW w:w="10000" w:type="dxa"/>
        <w:tblBorders>
          <w:bottom w:val="single" w:sz="4" w:color="D9DFE8"/>
          <w:insideH w:val="single" w:sz="4" w:color="D9DFE8"/>
        </w:tblBorders>
      </w:tblPr>
      <w:tblGrid>
        <w:gridCol w:w="5000"/>
        <w:gridCol w:w="5000"/>
      </w:tblGrid>
      <w:tr>
        <w:trPr>
          <w:cantSplit/>
          <w:tblHeader/>
        </w:trPr>
        <w:tc>
          <w:tcPr>
            <w:tcW w:w="5000" w:type="dxa"/>
            <w:shd w:fill="F5F5F5"/>
          </w:tcPr>
          <w:p>
            <w:pPr>
              <w:pStyle w:val="Body"/>
              <w:keepNext/>
            </w:pPr>
            <w:r>
              <w:t xml:space="preserve">Bloc de date</w:t>
            </w:r>
          </w:p>
        </w:tc>
        <w:tc>
          <w:tcPr>
            <w:tcW w:w="5000" w:type="dxa"/>
            <w:shd w:fill="F5F5F5"/>
          </w:tcPr>
          <w:p>
            <w:pPr>
              <w:pStyle w:val="Body"/>
              <w:keepNext/>
            </w:pPr>
            <w:r>
              <w:t xml:space="preserve">Statut</w:t>
            </w:r>
          </w:p>
        </w:tc>
      </w:tr>
      <w:tr>
        <w:trPr>
          <w:cantSplit/>
        </w:trPr>
        <w:tc>
          <w:tcPr>
            <w:tcW w:w="5000" w:type="dxa"/>
          </w:tcPr>
          <w:p>
            <w:pPr>
              <w:pStyle w:val="Body"/>
            </w:pPr>
            <w:r>
              <w:t xml:space="preserve">Climă / Bilanț hidric</w:t>
            </w:r>
          </w:p>
        </w:tc>
        <w:tc>
          <w:tcPr>
            <w:tcW w:w="5000" w:type="dxa"/>
          </w:tcPr>
          <w:p>
            <w:pPr>
              <w:pStyle w:val="Body"/>
            </w:pPr>
            <w:r>
              <w:t xml:space="preserve">Calculele climatice și de apă nu sunt disponibile în această versiune. Alinierea temporală a datelor zilnice și precizia pragurilor necesită încă o verificare metodologică separată. Puteți consulta datele admise despre terenuri, soluri, secetă și statistici agricole în secțiunile lor.</w:t>
            </w:r>
          </w:p>
        </w:tc>
      </w:tr>
      <w:tr>
        <w:trPr>
          <w:cantSplit/>
        </w:trPr>
        <w:tc>
          <w:tcPr>
            <w:tcW w:w="5000" w:type="dxa"/>
          </w:tcPr>
          <w:p>
            <w:pPr>
              <w:pStyle w:val="Body"/>
            </w:pPr>
            <w:r>
              <w:t xml:space="preserve">Vegetație</w:t>
            </w:r>
          </w:p>
        </w:tc>
        <w:tc>
          <w:tcPr>
            <w:tcW w:w="5000" w:type="dxa"/>
          </w:tcPr>
          <w:p>
            <w:pPr>
              <w:pStyle w:val="Body"/>
            </w:pPr>
            <w:r>
              <w:t xml:space="preserve">Indicii de vegetație și valorile privind suprafața validă sunt reținuți până la verificarea prelucrării reflectanței. Informațiile despre acoperirea terenurilor din 2021 rămân disponibile în secțiunea dedicată terenurilor.</w:t>
            </w:r>
          </w:p>
        </w:tc>
      </w:tr>
    </w:tbl>
    <w:p>
      <w:pPr>
        <w:pStyle w:val="Heading1"/>
      </w:pPr>
      <w:r>
        <w:t xml:space="preserve">Analiză suplimentară și date necesare</w:t>
      </w:r>
    </w:p>
    <w:p>
      <w:pPr>
        <w:keepNext/>
        <w:pStyle w:val="Body"/>
      </w:pPr>
      <w:r>
        <w:t xml:space="preserve"/>
      </w:r>
    </w:p>
    <w:tbl>
      <w:tblPr>
        <w:tblW w:w="10000" w:type="dxa"/>
        <w:tblBorders>
          <w:bottom w:val="single" w:sz="4" w:color="D9DFE8"/>
          <w:insideH w:val="single" w:sz="4" w:color="D9DFE8"/>
        </w:tblBorders>
      </w:tblPr>
      <w:tblGrid>
        <w:gridCol w:w="3333"/>
        <w:gridCol w:w="3333"/>
        <w:gridCol w:w="3333"/>
      </w:tblGrid>
      <w:tr>
        <w:trPr>
          <w:cantSplit/>
          <w:tblHeader/>
        </w:trPr>
        <w:tc>
          <w:tcPr>
            <w:tcW w:w="3333" w:type="dxa"/>
            <w:shd w:fill="F5F5F5"/>
          </w:tcPr>
          <w:p>
            <w:pPr>
              <w:pStyle w:val="Body"/>
              <w:keepNext/>
            </w:pPr>
            <w:r>
              <w:t xml:space="preserve">Sarcină</w:t>
            </w:r>
          </w:p>
        </w:tc>
        <w:tc>
          <w:tcPr>
            <w:tcW w:w="3333" w:type="dxa"/>
            <w:shd w:fill="F5F5F5"/>
          </w:tcPr>
          <w:p>
            <w:pPr>
              <w:pStyle w:val="Body"/>
              <w:keepNext/>
            </w:pPr>
            <w:r>
              <w:t xml:space="preserve">Domeniu disponibil</w:t>
            </w:r>
          </w:p>
        </w:tc>
        <w:tc>
          <w:tcPr>
            <w:tcW w:w="3333" w:type="dxa"/>
            <w:shd w:fill="F5F5F5"/>
          </w:tcPr>
          <w:p>
            <w:pPr>
              <w:pStyle w:val="Body"/>
              <w:keepNext/>
            </w:pPr>
            <w:r>
              <w:t xml:space="preserve">Date necesare în continuare</w:t>
            </w:r>
          </w:p>
        </w:tc>
      </w:tr>
      <w:tr>
        <w:trPr>
          <w:cantSplit/>
        </w:trPr>
        <w:tc>
          <w:tcPr>
            <w:tcW w:w="3333" w:type="dxa"/>
          </w:tcPr>
          <w:p>
            <w:pPr>
              <w:pStyle w:val="Body"/>
            </w:pPr>
            <w:r>
              <w:t xml:space="preserve">Prețuri și costuri</w:t>
            </w:r>
          </w:p>
        </w:tc>
        <w:tc>
          <w:tcPr>
            <w:tcW w:w="3333" w:type="dxa"/>
          </w:tcPr>
          <w:p>
            <w:pPr>
              <w:pStyle w:val="Body"/>
            </w:pPr>
            <w:r>
              <w:t xml:space="preserve">Cotațiile de piață datate și prețurile energiei sunt disponibile în secțiunea Prețuri și costuri.</w:t>
            </w:r>
          </w:p>
        </w:tc>
        <w:tc>
          <w:tcPr>
            <w:tcW w:w="3333" w:type="dxa"/>
          </w:tcPr>
          <w:p>
            <w:pPr>
              <w:pStyle w:val="Body"/>
            </w:pPr>
            <w:r>
              <w:t xml:space="preserve">Prețul contractual real, moneda, regimul TVA, data și costurile fermei; nu se presupune automat un preț.</w:t>
            </w:r>
          </w:p>
        </w:tc>
      </w:tr>
      <w:tr>
        <w:trPr>
          <w:cantSplit/>
        </w:trPr>
        <w:tc>
          <w:tcPr>
            <w:tcW w:w="3333" w:type="dxa"/>
          </w:tcPr>
          <w:p>
            <w:pPr>
              <w:pStyle w:val="Body"/>
            </w:pPr>
            <w:r>
              <w:t xml:space="preserve">Analiză într-o bancă sau altă organizație</w:t>
            </w:r>
          </w:p>
        </w:tc>
        <w:tc>
          <w:tcPr>
            <w:tcW w:w="3333" w:type="dxa"/>
          </w:tcPr>
          <w:p>
            <w:pPr>
              <w:pStyle w:val="Body"/>
            </w:pPr>
            <w:r>
              <w:t xml:space="preserve">Raportul poate sprijini analiza teritorială. Nu reprezintă o evaluare a bonității, o recomandare de creditare sau un model bancar validat.</w:t>
            </w:r>
          </w:p>
        </w:tc>
        <w:tc>
          <w:tcPr>
            <w:tcW w:w="3333" w:type="dxa"/>
          </w:tcPr>
          <w:p>
            <w:pPr>
              <w:pStyle w:val="Body"/>
            </w:pPr>
            <w:r>
              <w:t xml:space="preserve">Pentru un scenariu separat: date admise despre solicitant, parcele și portofoliu, definiția deciziei, metodă și validare independentă. Datele private nu sunt publicate în portal.</w:t>
            </w:r>
          </w:p>
        </w:tc>
      </w:tr>
      <w:tr>
        <w:trPr>
          <w:cantSplit/>
        </w:trPr>
        <w:tc>
          <w:tcPr>
            <w:tcW w:w="3333" w:type="dxa"/>
          </w:tcPr>
          <w:p>
            <w:pPr>
              <w:pStyle w:val="Body"/>
            </w:pPr>
            <w:r>
              <w:t xml:space="preserve">Documente și drepturi</w:t>
            </w:r>
          </w:p>
        </w:tc>
        <w:tc>
          <w:tcPr>
            <w:tcW w:w="3333" w:type="dxa"/>
          </w:tcPr>
          <w:p>
            <w:pPr>
              <w:pStyle w:val="Body"/>
            </w:pPr>
            <w:r>
              <w:t xml:space="preserve">Drepturile asupra terenului, autorizațiile de apă și eligibilitatea fermei necesită documente separate.</w:t>
            </w:r>
          </w:p>
        </w:tc>
        <w:tc>
          <w:tcPr>
            <w:tcW w:w="3333" w:type="dxa"/>
          </w:tcPr>
          <w:p>
            <w:pPr>
              <w:pStyle w:val="Body"/>
            </w:pPr>
            <w:r>
              <w:t xml:space="preserve">Documente privind drepturile asupra terenului, autorizațiile de apă, instalația de irigare, calitatea apei și condițiile programului.</w:t>
            </w:r>
          </w:p>
        </w:tc>
      </w:tr>
    </w:tbl>
    <w:p>
      <w:pPr>
        <w:pStyle w:val="Heading1"/>
      </w:pPr>
      <w:r>
        <w:t xml:space="preserve">Adresele portalului național și ale exporturilor</w:t>
      </w:r>
    </w:p>
    <w:p>
      <w:pPr>
        <w:keepNext/>
        <w:pStyle w:val="Body"/>
      </w:pPr>
      <w:r>
        <w:t xml:space="preserve">Acestea sunt adresele naționale prevăzute pentru același context; prezența lor nu confirmă publicarea. Pentru a descărca din versiunea pe care o consultați, folosiți Descărcați acest raport la finalul paginii.</w:t>
      </w:r>
    </w:p>
    <w:tbl>
      <w:tblPr>
        <w:tblW w:w="10000" w:type="dxa"/>
        <w:tblBorders>
          <w:bottom w:val="single" w:sz="4" w:color="D9DFE8"/>
          <w:insideH w:val="single" w:sz="4" w:color="D9DFE8"/>
        </w:tblBorders>
      </w:tblPr>
      <w:tblGrid>
        <w:gridCol w:w="5000"/>
        <w:gridCol w:w="5000"/>
      </w:tblGrid>
      <w:tr>
        <w:trPr>
          <w:cantSplit/>
          <w:tblHeader/>
        </w:trPr>
        <w:tc>
          <w:tcPr>
            <w:tcW w:w="5000" w:type="dxa"/>
            <w:shd w:fill="F5F5F5"/>
          </w:tcPr>
          <w:p>
            <w:pPr>
              <w:pStyle w:val="Body"/>
              <w:keepNext/>
            </w:pPr>
            <w:r>
              <w:t xml:space="preserve">Rezultat</w:t>
            </w:r>
          </w:p>
        </w:tc>
        <w:tc>
          <w:tcPr>
            <w:tcW w:w="5000" w:type="dxa"/>
            <w:shd w:fill="F5F5F5"/>
          </w:tcPr>
          <w:p>
            <w:pPr>
              <w:pStyle w:val="Body"/>
              <w:keepNext/>
            </w:pPr>
            <w:r>
              <w:t xml:space="preserve">Sursă</w:t>
            </w:r>
          </w:p>
        </w:tc>
      </w:tr>
      <w:tr>
        <w:trPr>
          <w:cantSplit/>
        </w:trPr>
        <w:tc>
          <w:tcPr>
            <w:tcW w:w="5000" w:type="dxa"/>
          </w:tcPr>
          <w:p>
            <w:pPr>
              <w:pStyle w:val="Body"/>
            </w:pPr>
            <w:r>
              <w:t xml:space="preserve">Rezultat selectat</w:t>
            </w:r>
          </w:p>
        </w:tc>
        <w:tc>
          <w:tcPr>
            <w:tcW w:w="5000" w:type="dxa"/>
          </w:tcPr>
          <w:p>
            <w:pPr>
              <w:pStyle w:val="Body"/>
            </w:pPr>
            <w:r>
              <w:t xml:space="preserve">https://romania.terrascore.eu/?compare=&amp;crop=C1110&amp;depth=0-5cm&amp;geo=RO%3Ageo%3AROU-ADM0-16175383%3Anational%3AALL_LAND&amp;lang=ro&amp;period=season&amp;statgeo=RO&amp;view=profile&amp;year=2025</w:t>
            </w:r>
          </w:p>
        </w:tc>
      </w:tr>
      <w:tr>
        <w:trPr>
          <w:cantSplit/>
        </w:trPr>
        <w:tc>
          <w:tcPr>
            <w:tcW w:w="5000" w:type="dxa"/>
          </w:tcPr>
          <w:p>
            <w:pPr>
              <w:pStyle w:val="Body"/>
            </w:pPr>
            <w:r>
              <w:t xml:space="preserve">JSON</w:t>
            </w:r>
          </w:p>
        </w:tc>
        <w:tc>
          <w:tcPr>
            <w:tcW w:w="5000" w:type="dxa"/>
          </w:tcPr>
          <w:p>
            <w:pPr>
              <w:pStyle w:val="Body"/>
            </w:pPr>
            <w:r>
              <w:t xml:space="preserve">https://romania.terrascore.eu/data.json?compare=&amp;crop=C1110&amp;depth=0-5cm&amp;geo=RO%3Ageo%3AROU-ADM0-16175383%3Anational%3AALL_LAND&amp;lang=ro&amp;period=season&amp;statgeo=RO&amp;view=profile&amp;year=2025</w:t>
            </w:r>
          </w:p>
        </w:tc>
      </w:tr>
      <w:tr>
        <w:trPr>
          <w:cantSplit/>
        </w:trPr>
        <w:tc>
          <w:tcPr>
            <w:tcW w:w="5000" w:type="dxa"/>
          </w:tcPr>
          <w:p>
            <w:pPr>
              <w:pStyle w:val="Body"/>
            </w:pPr>
            <w:r>
              <w:t xml:space="preserve">CSV</w:t>
            </w:r>
          </w:p>
        </w:tc>
        <w:tc>
          <w:tcPr>
            <w:tcW w:w="5000" w:type="dxa"/>
          </w:tcPr>
          <w:p>
            <w:pPr>
              <w:pStyle w:val="Body"/>
            </w:pPr>
            <w:r>
              <w:t xml:space="preserve">https://romania.terrascore.eu/report.csv?compare=&amp;crop=C1110&amp;depth=0-5cm&amp;geo=RO%3Ageo%3AROU-ADM0-16175383%3Anational%3AALL_LAND&amp;lang=ro&amp;period=season&amp;statgeo=RO&amp;view=profile&amp;year=2025</w:t>
            </w:r>
          </w:p>
        </w:tc>
      </w:tr>
      <w:tr>
        <w:trPr>
          <w:cantSplit/>
        </w:trPr>
        <w:tc>
          <w:tcPr>
            <w:tcW w:w="5000" w:type="dxa"/>
          </w:tcPr>
          <w:p>
            <w:pPr>
              <w:pStyle w:val="Body"/>
            </w:pPr>
            <w:r>
              <w:t xml:space="preserve">XLSX</w:t>
            </w:r>
          </w:p>
        </w:tc>
        <w:tc>
          <w:tcPr>
            <w:tcW w:w="5000" w:type="dxa"/>
          </w:tcPr>
          <w:p>
            <w:pPr>
              <w:pStyle w:val="Body"/>
            </w:pPr>
            <w:r>
              <w:t xml:space="preserve">https://romania.terrascore.eu/report.xlsx?compare=&amp;crop=C1110&amp;depth=0-5cm&amp;geo=RO%3Ageo%3AROU-ADM0-16175383%3Anational%3AALL_LAND&amp;lang=ro&amp;period=season&amp;statgeo=RO&amp;view=profile&amp;year=2025</w:t>
            </w:r>
          </w:p>
        </w:tc>
      </w:tr>
      <w:tr>
        <w:trPr>
          <w:cantSplit/>
        </w:trPr>
        <w:tc>
          <w:tcPr>
            <w:tcW w:w="5000" w:type="dxa"/>
          </w:tcPr>
          <w:p>
            <w:pPr>
              <w:pStyle w:val="Body"/>
            </w:pPr>
            <w:r>
              <w:t xml:space="preserve">DOCX</w:t>
            </w:r>
          </w:p>
        </w:tc>
        <w:tc>
          <w:tcPr>
            <w:tcW w:w="5000" w:type="dxa"/>
          </w:tcPr>
          <w:p>
            <w:pPr>
              <w:pStyle w:val="Body"/>
            </w:pPr>
            <w:r>
              <w:t xml:space="preserve">https://romania.terrascore.eu/report.docx?compare=&amp;crop=C1110&amp;depth=0-5cm&amp;geo=RO%3Ageo%3AROU-ADM0-16175383%3Anational%3AALL_LAND&amp;lang=ro&amp;period=season&amp;statgeo=RO&amp;view=profile&amp;year=2025</w:t>
            </w:r>
          </w:p>
        </w:tc>
      </w:tr>
      <w:tr>
        <w:trPr>
          <w:cantSplit/>
        </w:trPr>
        <w:tc>
          <w:tcPr>
            <w:tcW w:w="5000" w:type="dxa"/>
          </w:tcPr>
          <w:p>
            <w:pPr>
              <w:pStyle w:val="Body"/>
            </w:pPr>
            <w:r>
              <w:t xml:space="preserve">PDF</w:t>
            </w:r>
          </w:p>
        </w:tc>
        <w:tc>
          <w:tcPr>
            <w:tcW w:w="5000" w:type="dxa"/>
          </w:tcPr>
          <w:p>
            <w:pPr>
              <w:pStyle w:val="Body"/>
            </w:pPr>
            <w:r>
              <w:t xml:space="preserve">https://romania.terrascore.eu/report.pdf?compare=&amp;crop=C1110&amp;depth=0-5cm&amp;geo=RO%3Ageo%3AROU-ADM0-16175383%3Anational%3AALL_LAND&amp;lang=ro&amp;period=season&amp;statgeo=RO&amp;view=profile&amp;year=2025</w:t>
            </w:r>
          </w:p>
        </w:tc>
      </w:tr>
    </w:tbl>
    <w:p>
      <w:pPr>
        <w:pStyle w:val="Heading1"/>
      </w:pPr>
      <w:r>
        <w:t xml:space="preserve">Atribuirea sursei</w:t>
      </w:r>
    </w:p>
    <w:p>
      <w:pPr>
        <w:keepNext/>
        <w:pStyle w:val="Body"/>
      </w:pPr>
      <w:r>
        <w:t xml:space="preserve">TerraScore a efectuat agregările temporale, intersecțiile spațiale și calculele derivate descrise. Licențele surselor rămân aplicabile; furnizorii nu au aprobat rezultatele TerraScore. Denumirile furnizorilor, codurile surselor și mențiunile obligatorii ale licențelor sunt păstrate în limba originală. Explicațiile rezultatelor sunt disponibile în limba selectată a portalului.</w:t>
      </w:r>
    </w:p>
    <w:tbl>
      <w:tblPr>
        <w:tblW w:w="10000" w:type="dxa"/>
        <w:tblBorders>
          <w:bottom w:val="single" w:sz="4" w:color="D9DFE8"/>
          <w:insideH w:val="single" w:sz="4" w:color="D9DFE8"/>
        </w:tblBorders>
      </w:tblPr>
      <w:tblGrid>
        <w:gridCol w:w="2500"/>
        <w:gridCol w:w="2500"/>
        <w:gridCol w:w="2500"/>
        <w:gridCol w:w="2500"/>
      </w:tblGrid>
      <w:tr>
        <w:trPr>
          <w:cantSplit/>
          <w:tblHeader/>
        </w:trPr>
        <w:tc>
          <w:tcPr>
            <w:tcW w:w="2500" w:type="dxa"/>
            <w:shd w:fill="F5F5F5"/>
          </w:tcPr>
          <w:p>
            <w:pPr>
              <w:pStyle w:val="Body"/>
              <w:keepNext/>
            </w:pPr>
            <w:r>
              <w:t xml:space="preserve">Sursă</w:t>
            </w:r>
          </w:p>
        </w:tc>
        <w:tc>
          <w:tcPr>
            <w:tcW w:w="2500" w:type="dxa"/>
            <w:shd w:fill="F5F5F5"/>
          </w:tcPr>
          <w:p>
            <w:pPr>
              <w:pStyle w:val="Body"/>
              <w:keepNext/>
            </w:pPr>
            <w:r>
              <w:t xml:space="preserve">Licență</w:t>
            </w:r>
          </w:p>
        </w:tc>
        <w:tc>
          <w:tcPr>
            <w:tcW w:w="2500" w:type="dxa"/>
            <w:shd w:fill="F5F5F5"/>
          </w:tcPr>
          <w:p>
            <w:pPr>
              <w:pStyle w:val="Body"/>
              <w:keepNext/>
            </w:pPr>
            <w:r>
              <w:t xml:space="preserve">Atribuirea sursei</w:t>
            </w:r>
          </w:p>
        </w:tc>
        <w:tc>
          <w:tcPr>
            <w:tcW w:w="2500" w:type="dxa"/>
            <w:shd w:fill="F5F5F5"/>
          </w:tcPr>
          <w:p>
            <w:pPr>
              <w:pStyle w:val="Body"/>
              <w:keepNext/>
            </w:pPr>
            <w:r>
              <w:t xml:space="preserve">URL</w:t>
            </w:r>
          </w:p>
        </w:tc>
      </w:tr>
      <w:tr>
        <w:trPr>
          <w:cantSplit/>
        </w:trPr>
        <w:tc>
          <w:tcPr>
            <w:tcW w:w="2500" w:type="dxa"/>
          </w:tcPr>
          <w:p>
            <w:pPr>
              <w:pStyle w:val="Body"/>
            </w:pPr>
            <w:r>
              <w:t xml:space="preserve">geoBoundaries gbOpen · ROU-ADM0-16175383; representative year 2018</w:t>
            </w:r>
          </w:p>
        </w:tc>
        <w:tc>
          <w:tcPr>
            <w:tcW w:w="2500" w:type="dxa"/>
          </w:tcPr>
          <w:p>
            <w:pPr>
              <w:pStyle w:val="Body"/>
            </w:pPr>
            <w:r>
              <w:t xml:space="preserve">Publisher CC BY4; native metadata: Creative Commons Attribution 3.0 License</w:t>
            </w:r>
          </w:p>
        </w:tc>
        <w:tc>
          <w:tcPr>
            <w:tcW w:w="2500" w:type="dxa"/>
          </w:tcPr>
          <w:p>
            <w:pPr>
              <w:pStyle w:val="Body"/>
            </w:pPr>
            <w:r>
              <w:t xml:space="preserve">geoBoundaries.org; Runfola et al. (2020), doi:10.1371/journal.pone.0231866; StatSilk, geoBoundaries —</w:t>
            </w:r>
          </w:p>
        </w:tc>
        <w:tc>
          <w:tcPr>
            <w:tcW w:w="2500" w:type="dxa"/>
          </w:tcPr>
          <w:p>
            <w:pPr>
              <w:pStyle w:val="Body"/>
            </w:pPr>
            <w:r>
              <w:t xml:space="preserve">https://www.geoboundaries.org/api/current/gbOpen/ROU/ADM0/ https://creativecommons.org/licenses/by/4.0/</w:t>
            </w:r>
          </w:p>
        </w:tc>
      </w:tr>
      <w:tr>
        <w:trPr>
          <w:cantSplit/>
        </w:trPr>
        <w:tc>
          <w:tcPr>
            <w:tcW w:w="2500" w:type="dxa"/>
          </w:tcPr>
          <w:p>
            <w:pPr>
              <w:pStyle w:val="Body"/>
            </w:pPr>
            <w:r>
              <w:t xml:space="preserve">Official administrative units and boundaries via data.gov.ro · 2020-07-27; per-feature versionId retained</w:t>
            </w:r>
          </w:p>
        </w:tc>
        <w:tc>
          <w:tcPr>
            <w:tcW w:w="2500" w:type="dxa"/>
          </w:tcPr>
          <w:p>
            <w:pPr>
              <w:pStyle w:val="Body"/>
            </w:pPr>
            <w:r>
              <w:t xml:space="preserve">CC BY 4.0; attribution, source link, licence link and modifications notice; no endorsement</w:t>
            </w:r>
          </w:p>
        </w:tc>
        <w:tc>
          <w:tcPr>
            <w:tcW w:w="2500" w:type="dxa"/>
          </w:tcPr>
          <w:p>
            <w:pPr>
              <w:pStyle w:val="Body"/>
            </w:pPr>
            <w:r>
              <w:t xml:space="preserve">ANCPI / data.gov.ro; Administrative Units 27.07.2020; modified to GeoParquet and intersected for analysis —</w:t>
            </w:r>
          </w:p>
        </w:tc>
        <w:tc>
          <w:tcPr>
            <w:tcW w:w="2500" w:type="dxa"/>
          </w:tcPr>
          <w:p>
            <w:pPr>
              <w:pStyle w:val="Body"/>
            </w:pPr>
            <w:r>
              <w:t xml:space="preserve">https://data.gov.ro/api/3/action/package_show?id=6b7b18eb-1d88-404a-8ce0-b40d010fc70c https://creativecommons.org/licenses/by/4.0/</w:t>
            </w:r>
          </w:p>
        </w:tc>
      </w:tr>
      <w:tr>
        <w:trPr>
          <w:cantSplit/>
        </w:trPr>
        <w:tc>
          <w:tcPr>
            <w:tcW w:w="2500" w:type="dxa"/>
          </w:tcPr>
          <w:p>
            <w:pPr>
              <w:pStyle w:val="Body"/>
            </w:pPr>
            <w:r>
              <w:t xml:space="preserve">Eurostat apro_cpsh1 · Live JSON-stat snapshot updated timestamp and SDMX structure retained</w:t>
            </w:r>
          </w:p>
        </w:tc>
        <w:tc>
          <w:tcPr>
            <w:tcW w:w="2500" w:type="dxa"/>
          </w:tcPr>
          <w:p>
            <w:pPr>
              <w:pStyle w:val="Body"/>
            </w:pPr>
            <w:r>
              <w:t xml:space="preserve">European Commission/Eurostat statistical reuse attribution terms</w:t>
            </w:r>
          </w:p>
        </w:tc>
        <w:tc>
          <w:tcPr>
            <w:tcW w:w="2500" w:type="dxa"/>
          </w:tcPr>
          <w:p>
            <w:pPr>
              <w:pStyle w:val="Body"/>
            </w:pPr>
            <w:r>
              <w:t xml:space="preserve">Eurostat, dataset apro_cpsh1, provider update and retrieval date; modifications noted —</w:t>
            </w:r>
          </w:p>
        </w:tc>
        <w:tc>
          <w:tcPr>
            <w:tcW w:w="2500" w:type="dxa"/>
          </w:tcPr>
          <w:p>
            <w:pPr>
              <w:pStyle w:val="Body"/>
            </w:pPr>
            <w:r>
              <w:t xml:space="preserve">https://ec.europa.eu/eurostat/help/copyright-notice https://ec.europa.eu/eurostat/help/copyright-notice</w:t>
            </w:r>
          </w:p>
        </w:tc>
      </w:tr>
      <w:tr>
        <w:trPr>
          <w:cantSplit/>
        </w:trPr>
        <w:tc>
          <w:tcPr>
            <w:tcW w:w="2500" w:type="dxa"/>
          </w:tcPr>
          <w:p>
            <w:pPr>
              <w:pStyle w:val="Body"/>
            </w:pPr>
            <w:r>
              <w:t xml:space="preserve">Eurostat apro_cpshr · Live JSON-stat snapshot updated timestamp and SDMX structure retained</w:t>
            </w:r>
          </w:p>
        </w:tc>
        <w:tc>
          <w:tcPr>
            <w:tcW w:w="2500" w:type="dxa"/>
          </w:tcPr>
          <w:p>
            <w:pPr>
              <w:pStyle w:val="Body"/>
            </w:pPr>
            <w:r>
              <w:t xml:space="preserve">European Commission/Eurostat statistical reuse attribution terms</w:t>
            </w:r>
          </w:p>
        </w:tc>
        <w:tc>
          <w:tcPr>
            <w:tcW w:w="2500" w:type="dxa"/>
          </w:tcPr>
          <w:p>
            <w:pPr>
              <w:pStyle w:val="Body"/>
            </w:pPr>
            <w:r>
              <w:t xml:space="preserve">Eurostat, dataset apro_cpshr, provider update and retrieval date; modifications noted —</w:t>
            </w:r>
          </w:p>
        </w:tc>
        <w:tc>
          <w:tcPr>
            <w:tcW w:w="2500" w:type="dxa"/>
          </w:tcPr>
          <w:p>
            <w:pPr>
              <w:pStyle w:val="Body"/>
            </w:pPr>
            <w:r>
              <w:t xml:space="preserve">https://ec.europa.eu/eurostat/help/copyright-notice https://ec.europa.eu/eurostat/help/copyright-notice</w:t>
            </w:r>
          </w:p>
        </w:tc>
      </w:tr>
      <w:tr>
        <w:trPr>
          <w:cantSplit/>
        </w:trPr>
        <w:tc>
          <w:tcPr>
            <w:tcW w:w="2500" w:type="dxa"/>
          </w:tcPr>
          <w:p>
            <w:pPr>
              <w:pStyle w:val="Body"/>
            </w:pPr>
            <w:r>
              <w:t xml:space="preserve">European Commission DG AGRI cereal market prices · Live official API, annual queries plus overlapping year-boundary queries; native product/market/stage dictionaries</w:t>
            </w:r>
          </w:p>
        </w:tc>
        <w:tc>
          <w:tcPr>
            <w:tcW w:w="2500" w:type="dxa"/>
          </w:tcPr>
          <w:p>
            <w:pPr>
              <w:pStyle w:val="Body"/>
            </w:pPr>
            <w:r>
              <w:t xml:space="preserve">European Commission reuse policy / official statistics; attribution and third-party exceptions</w:t>
            </w:r>
          </w:p>
        </w:tc>
        <w:tc>
          <w:tcPr>
            <w:tcW w:w="2500" w:type="dxa"/>
          </w:tcPr>
          <w:p>
            <w:pPr>
              <w:pStyle w:val="Body"/>
            </w:pPr>
            <w:r>
              <w:t xml:space="preserve">European Commission, DG AGRI Agri-food data portal; cereals market prices; named market, stage, observation week and retrieval date —</w:t>
            </w:r>
          </w:p>
        </w:tc>
        <w:tc>
          <w:tcPr>
            <w:tcW w:w="2500" w:type="dxa"/>
          </w:tcPr>
          <w:p>
            <w:pPr>
              <w:pStyle w:val="Body"/>
            </w:pPr>
            <w:r>
              <w:t xml:space="preserve">https://commission.europa.eu/legal-notice_en https://commission.europa.eu/legal-notice_en</w:t>
            </w:r>
          </w:p>
        </w:tc>
      </w:tr>
      <w:tr>
        <w:trPr>
          <w:cantSplit/>
        </w:trPr>
        <w:tc>
          <w:tcPr>
            <w:tcW w:w="2500" w:type="dxa"/>
          </w:tcPr>
          <w:p>
            <w:pPr>
              <w:pStyle w:val="Body"/>
            </w:pPr>
            <w:r>
              <w:t xml:space="preserve">Eurostat electricity prices for non-household consumers, semiannual · Current JSON-stat snapshot, native consumer bands/tax/currency/status; SDMX structure acquired before data</w:t>
            </w:r>
          </w:p>
        </w:tc>
        <w:tc>
          <w:tcPr>
            <w:tcW w:w="2500" w:type="dxa"/>
          </w:tcPr>
          <w:p>
            <w:pPr>
              <w:pStyle w:val="Body"/>
            </w:pPr>
            <w:r>
              <w:t xml:space="preserve">European Commission/Eurostat statistical reuse attribution terms</w:t>
            </w:r>
          </w:p>
        </w:tc>
        <w:tc>
          <w:tcPr>
            <w:tcW w:w="2500" w:type="dxa"/>
          </w:tcPr>
          <w:p>
            <w:pPr>
              <w:pStyle w:val="Body"/>
            </w:pPr>
            <w:r>
              <w:t xml:space="preserve">Eurostat nrg_pc_205, exact national consumer band, tax level, currency, semester and snapshot date —</w:t>
            </w:r>
          </w:p>
        </w:tc>
        <w:tc>
          <w:tcPr>
            <w:tcW w:w="2500" w:type="dxa"/>
          </w:tcPr>
          <w:p>
            <w:pPr>
              <w:pStyle w:val="Body"/>
            </w:pPr>
            <w:r>
              <w:t xml:space="preserve">https://ec.europa.eu/eurostat/help/copyright-notice https://ec.europa.eu/eurostat/help/copyright-notice</w:t>
            </w:r>
          </w:p>
        </w:tc>
      </w:tr>
      <w:tr>
        <w:trPr>
          <w:cantSplit/>
        </w:trPr>
        <w:tc>
          <w:tcPr>
            <w:tcW w:w="2500" w:type="dxa"/>
          </w:tcPr>
          <w:p>
            <w:pPr>
              <w:pStyle w:val="Body"/>
            </w:pPr>
            <w:r>
              <w:t xml:space="preserve">European Commission country CAP strategic plan documents · Current official country page and linked approved amendments snapshot2026-10-07</w:t>
            </w:r>
          </w:p>
        </w:tc>
        <w:tc>
          <w:tcPr>
            <w:tcW w:w="2500" w:type="dxa"/>
          </w:tcPr>
          <w:p>
            <w:pPr>
              <w:pStyle w:val="Body"/>
            </w:pPr>
            <w:r>
              <w:t xml:space="preserve">European Commission document reuse notice; embedded third-party content exceptions</w:t>
            </w:r>
          </w:p>
        </w:tc>
        <w:tc>
          <w:tcPr>
            <w:tcW w:w="2500" w:type="dxa"/>
          </w:tcPr>
          <w:p>
            <w:pPr>
              <w:pStyle w:val="Body"/>
            </w:pPr>
            <w:r>
              <w:t xml:space="preserve">European Commission / DG AGRI and country authority; exact document date and amendment —</w:t>
            </w:r>
          </w:p>
        </w:tc>
        <w:tc>
          <w:tcPr>
            <w:tcW w:w="2500" w:type="dxa"/>
          </w:tcPr>
          <w:p>
            <w:pPr>
              <w:pStyle w:val="Body"/>
            </w:pPr>
            <w:r>
              <w:t xml:space="preserve">https://agriculture.ec.europa.eu/cap-my-country/cap-strategic-plans/romania_en https://agriculture.ec.europa.eu/cap-my-country/cap-strategic-plans/romania_en</w:t>
            </w:r>
          </w:p>
        </w:tc>
      </w:tr>
      <w:tr>
        <w:trPr>
          <w:cantSplit/>
        </w:trPr>
        <w:tc>
          <w:tcPr>
            <w:tcW w:w="2500" w:type="dxa"/>
          </w:tcPr>
          <w:p>
            <w:pPr>
              <w:pStyle w:val="Body"/>
            </w:pPr>
            <w:r>
              <w:t xml:space="preserve">ISRIC SoilGrids model soil: pH, sand, silt, clay, SOC, bulk density, coarse fragments, water retention · SoilGrids 2.0; 1 km mean; six depth intervals, 0–200 cm</w:t>
            </w:r>
          </w:p>
        </w:tc>
        <w:tc>
          <w:tcPr>
            <w:tcW w:w="2500" w:type="dxa"/>
          </w:tcPr>
          <w:p>
            <w:pPr>
              <w:pStyle w:val="Body"/>
            </w:pPr>
            <w:r>
              <w:t xml:space="preserve">CC BY 4.0; attribution, source link, licence link and modifications notice; no endorsement</w:t>
            </w:r>
          </w:p>
        </w:tc>
        <w:tc>
          <w:tcPr>
            <w:tcW w:w="2500" w:type="dxa"/>
          </w:tcPr>
          <w:p>
            <w:pPr>
              <w:pStyle w:val="Body"/>
            </w:pPr>
            <w:r>
              <w:t xml:space="preserve">ISRIC – World Soil Information, SoilGrids2.0; mean at stated depth/resolution; modified AOI subset —</w:t>
            </w:r>
          </w:p>
        </w:tc>
        <w:tc>
          <w:tcPr>
            <w:tcW w:w="2500" w:type="dxa"/>
          </w:tcPr>
          <w:p>
            <w:pPr>
              <w:pStyle w:val="Body"/>
            </w:pPr>
            <w:r>
              <w:t xml:space="preserve">https://docs.isric.org/globaldata/soilgrids/SoilGrids_faqs.html https://creativecommons.org/licenses/by/4.0/</w:t>
            </w:r>
          </w:p>
        </w:tc>
      </w:tr>
      <w:tr>
        <w:trPr>
          <w:cantSplit/>
        </w:trPr>
        <w:tc>
          <w:tcPr>
            <w:tcW w:w="2500" w:type="dxa"/>
          </w:tcPr>
          <w:p>
            <w:pPr>
              <w:pStyle w:val="Body"/>
            </w:pPr>
            <w:r>
              <w:t xml:space="preserve">NUTS attribute classification tables · 2021 and 2024</w:t>
            </w:r>
          </w:p>
        </w:tc>
        <w:tc>
          <w:tcPr>
            <w:tcW w:w="2500" w:type="dxa"/>
          </w:tcPr>
          <w:p>
            <w:pPr>
              <w:pStyle w:val="Body"/>
            </w:pPr>
            <w:r>
              <w:t xml:space="preserve">Eurostat statistical information reuse; classification only</w:t>
            </w:r>
          </w:p>
        </w:tc>
        <w:tc>
          <w:tcPr>
            <w:tcW w:w="2500" w:type="dxa"/>
          </w:tcPr>
          <w:p>
            <w:pPr>
              <w:pStyle w:val="Body"/>
            </w:pPr>
            <w:r>
              <w:t xml:space="preserve">Eurostat, NUTS classification version 2021/2024 —</w:t>
            </w:r>
          </w:p>
        </w:tc>
        <w:tc>
          <w:tcPr>
            <w:tcW w:w="2500" w:type="dxa"/>
          </w:tcPr>
          <w:p>
            <w:pPr>
              <w:pStyle w:val="Body"/>
            </w:pPr>
            <w:r>
              <w:t xml:space="preserve">https://ec.europa.eu/eurostat/help/copyright-notice https://ec.europa.eu/eurostat/help/copyright-notice</w:t>
            </w:r>
          </w:p>
        </w:tc>
      </w:tr>
    </w:tbl>
    <w:p>
      <w:pPr>
        <w:pStyle w:val="Heading1"/>
      </w:pPr>
      <w:r>
        <w:t xml:space="preserve">Atribuirea surselor și condițiile de reutilizare</w:t>
      </w:r>
    </w:p>
    <w:p>
      <w:pPr>
        <w:keepNext/>
        <w:pStyle w:val="Body"/>
      </w:pPr>
      <w:r>
        <w:t xml:space="preserve">Denumirile furnizorilor, codurile surselor și mențiunile obligatorii ale licențelor sunt păstrate în limba originală. Explicațiile rezultatelor sunt disponibile în limba selectată a portalului.</w:t>
      </w:r>
    </w:p>
    <w:tbl>
      <w:tblPr>
        <w:tblW w:w="10000" w:type="dxa"/>
        <w:tblBorders>
          <w:bottom w:val="single" w:sz="4" w:color="D9DFE8"/>
          <w:insideH w:val="single" w:sz="4" w:color="D9DFE8"/>
        </w:tblBorders>
      </w:tblPr>
      <w:tblGrid>
        <w:gridCol w:w="2500"/>
        <w:gridCol w:w="2500"/>
        <w:gridCol w:w="2500"/>
        <w:gridCol w:w="2500"/>
      </w:tblGrid>
      <w:tr>
        <w:trPr>
          <w:cantSplit/>
          <w:tblHeader/>
        </w:trPr>
        <w:tc>
          <w:tcPr>
            <w:tcW w:w="2500" w:type="dxa"/>
            <w:shd w:fill="F5F5F5"/>
          </w:tcPr>
          <w:p>
            <w:pPr>
              <w:pStyle w:val="Body"/>
              <w:keepNext/>
            </w:pPr>
            <w:r>
              <w:t xml:space="preserve">Sursă</w:t>
            </w:r>
          </w:p>
        </w:tc>
        <w:tc>
          <w:tcPr>
            <w:tcW w:w="2500" w:type="dxa"/>
            <w:shd w:fill="F5F5F5"/>
          </w:tcPr>
          <w:p>
            <w:pPr>
              <w:pStyle w:val="Body"/>
              <w:keepNext/>
            </w:pPr>
            <w:r>
              <w:t xml:space="preserve">Licență</w:t>
            </w:r>
          </w:p>
        </w:tc>
        <w:tc>
          <w:tcPr>
            <w:tcW w:w="2500" w:type="dxa"/>
            <w:shd w:fill="F5F5F5"/>
          </w:tcPr>
          <w:p>
            <w:pPr>
              <w:pStyle w:val="Body"/>
              <w:keepNext/>
            </w:pPr>
            <w:r>
              <w:t xml:space="preserve">Atribuirea sursei</w:t>
            </w:r>
          </w:p>
        </w:tc>
        <w:tc>
          <w:tcPr>
            <w:tcW w:w="2500" w:type="dxa"/>
            <w:shd w:fill="F5F5F5"/>
          </w:tcPr>
          <w:p>
            <w:pPr>
              <w:pStyle w:val="Body"/>
              <w:keepNext/>
            </w:pPr>
            <w:r>
              <w:t xml:space="preserve">URL</w:t>
            </w:r>
          </w:p>
        </w:tc>
      </w:tr>
      <w:tr>
        <w:trPr>
          <w:cantSplit/>
        </w:trPr>
        <w:tc>
          <w:tcPr>
            <w:tcW w:w="2500" w:type="dxa"/>
          </w:tcPr>
          <w:p>
            <w:pPr>
              <w:pStyle w:val="Body"/>
            </w:pPr>
            <w:r>
              <w:t xml:space="preserve">WORLDCOVER</w:t>
            </w:r>
          </w:p>
        </w:tc>
        <w:tc>
          <w:tcPr>
            <w:tcW w:w="2500" w:type="dxa"/>
          </w:tcPr>
          <w:p>
            <w:pPr>
              <w:pStyle w:val="Body"/>
            </w:pPr>
            <w:r>
              <w:t xml:space="preserve">CC BY 4.0</w:t>
            </w:r>
          </w:p>
        </w:tc>
        <w:tc>
          <w:tcPr>
            <w:tcW w:w="2500" w:type="dxa"/>
          </w:tcPr>
          <w:p>
            <w:pPr>
              <w:pStyle w:val="Body"/>
            </w:pPr>
            <w:r>
              <w:t xml:space="preserve">© ESA WorldCover project 2021 / Contains modified Copernicus Sentinel data (2021) processed by ESA WorldCover consortium
—
Zanaga et al. (2022), ESA WorldCover 10 m 2021 v200, https://doi.org/10.5281/zenodo.7254221
—
TerraScore: class 40 extraction, spatial intersections and area/fraction aggregation using versioned national geometries. This is land cover for 2021, not current crop identity.
WorldCover source permission does not admit custom Sentinel index descendants.
—</w:t>
            </w:r>
          </w:p>
        </w:tc>
        <w:tc>
          <w:tcPr>
            <w:tcW w:w="2500" w:type="dxa"/>
          </w:tcPr>
          <w:p>
            <w:pPr>
              <w:pStyle w:val="Body"/>
            </w:pPr>
            <w:r>
              <w:t xml:space="preserve">https://esa-worldcover.org/en/data-access https://creativecommons.org/licenses/by/4.0/</w:t>
            </w:r>
          </w:p>
        </w:tc>
      </w:tr>
      <w:tr>
        <w:trPr>
          <w:cantSplit/>
        </w:trPr>
        <w:tc>
          <w:tcPr>
            <w:tcW w:w="2500" w:type="dxa"/>
          </w:tcPr>
          <w:p>
            <w:pPr>
              <w:pStyle w:val="Body"/>
            </w:pPr>
            <w:r>
              <w:t xml:space="preserve">DEM</w:t>
            </w:r>
          </w:p>
        </w:tc>
        <w:tc>
          <w:tcPr>
            <w:tcW w:w="2500" w:type="dxa"/>
          </w:tcPr>
          <w:p>
            <w:pPr>
              <w:pStyle w:val="Body"/>
            </w:pPr>
            <w:r>
              <w:t xml:space="preserve">COP-DEM-GLO-90-F full free and open custom licence; June2025 bundle pp19–21</w:t>
            </w:r>
          </w:p>
        </w:tc>
        <w:tc>
          <w:tcPr>
            <w:tcW w:w="2500" w:type="dxa"/>
          </w:tcPr>
          <w:p>
            <w:pPr>
              <w:pStyle w:val="Body"/>
            </w:pPr>
            <w:r>
              <w:t xml:space="preserve">produced using Copernicus WorldDEM™-90 © DLR e.V. 2010-2014 and © Airbus Defence and Space GmbH 2014-2018 provided under COPERNICUS by the European Union and ESA; all rights reserved
The organisations in charge of the Copernicus programme by law or by delegation do not incur any liability for any use of the Copernicus WorldDEM™-90
—
—
—
—
No endorsement; bind subsequent users to source notice and liability obligations. DSM not bare-earth or parcel survey.</w:t>
            </w:r>
          </w:p>
        </w:tc>
        <w:tc>
          <w:tcPr>
            <w:tcW w:w="2500" w:type="dxa"/>
          </w:tcPr>
          <w:p>
            <w:pPr>
              <w:pStyle w:val="Body"/>
            </w:pPr>
            <w:r>
              <w:t xml:space="preserve">https://dataspace.copernicus.eu/sites/default/files/media/files/2025-06/copernicus_contributing_mission_data_access_v2_cop_dem_licenses.pdf —</w:t>
            </w:r>
          </w:p>
        </w:tc>
      </w:tr>
      <w:tr>
        <w:trPr>
          <w:cantSplit/>
        </w:trPr>
        <w:tc>
          <w:tcPr>
            <w:tcW w:w="2500" w:type="dxa"/>
          </w:tcPr>
          <w:p>
            <w:pPr>
              <w:pStyle w:val="Body"/>
            </w:pPr>
            <w:r>
              <w:t xml:space="preserve">CDI_RO_PL</w:t>
            </w:r>
          </w:p>
        </w:tc>
        <w:tc>
          <w:tcPr>
            <w:tcW w:w="2500" w:type="dxa"/>
          </w:tcPr>
          <w:p>
            <w:pPr>
              <w:pStyle w:val="Body"/>
            </w:pPr>
            <w:r>
              <w:t xml:space="preserve">CC BY 4.0</w:t>
            </w:r>
          </w:p>
        </w:tc>
        <w:tc>
          <w:tcPr>
            <w:tcW w:w="2500" w:type="dxa"/>
          </w:tcPr>
          <w:p>
            <w:pPr>
              <w:pStyle w:val="Body"/>
            </w:pPr>
            <w:r>
              <w:t xml:space="preserve">Contains modified Copernicus Emergency Management Service information 2026
—
—
European Commission–Joint Research Centre, European Drought Observatory (EDO), Copernicus Emergency Management Service
TerraScore: versioned polygon intersections and area shares; classes7/8 and masks excluded from valid support as documented. Not an official national/regional warning.
Retain dry-bias caveat for eastern Poland, area denominator and published method reference; never average class codes.
—</w:t>
            </w:r>
          </w:p>
        </w:tc>
        <w:tc>
          <w:tcPr>
            <w:tcW w:w="2500" w:type="dxa"/>
          </w:tcPr>
          <w:p>
            <w:pPr>
              <w:pStyle w:val="Body"/>
            </w:pPr>
            <w:r>
              <w:t xml:space="preserve">https://drought.emergency.copernicus.eu/terms&amp;conditions https://creativecommons.org/licenses/by/4.0/</w:t>
            </w:r>
          </w:p>
        </w:tc>
      </w:tr>
    </w:tbl>
    <w:p>
      <w:pPr>
        <w:pStyle w:val="Heading1"/>
      </w:pPr>
      <w:r>
        <w:t xml:space="preserve">Surse și trasabilitate</w:t>
      </w:r>
    </w:p>
    <w:p>
      <w:pPr>
        <w:pStyle w:val="Body"/>
      </w:pPr>
      <w:r>
        <w:t xml:space="preserve">Identificatorul raportului: eb084d7d3b7b9a4cc4fa8132bc7551ae7906e1335698ee40664cbb76c40976e2</w:t>
      </w:r>
    </w:p>
    <w:p>
      <w:pPr>
        <w:pStyle w:val="Body"/>
      </w:pPr>
      <w:r>
        <w:t xml:space="preserve">Hash-ul conținutului: eb084d7d3b7b9a4cc4fa8132bc7551ae7906e1335698ee40664cbb76c40976e2</w:t>
      </w:r>
    </w:p>
    <w:p>
      <w:pPr>
        <w:pStyle w:val="Body"/>
      </w:pPr>
      <w:r>
        <w:t xml:space="preserve">Versiunea metodei: terrascore.country-candidate/0.8.2</w:t>
      </w:r>
    </w:p>
    <w:p>
      <w:pPr>
        <w:pStyle w:val="Body"/>
      </w:pPr>
      <w:r>
        <w:t xml:space="preserve">Versiunea șablonului: terrascore.country-view/0.3.5; terrascore-shell/1.4.1; terrascore-europe/2.0.1; terrascore.ro-pl-presentation/1.0.2</w:t>
      </w:r>
    </w:p>
    <w:p>
      <w:pPr>
        <w:pStyle w:val="Body"/>
      </w:pPr>
      <w:r>
        <w:t xml:space="preserve">Sursă: Copernicus / ISRIC / Eurostat / ANCPI / geoBoundaries · </w:t>
      </w:r>
    </w:p>
    <w:p>
      <w:pPr>
        <w:pStyle w:val="Body"/>
      </w:pPr>
      <w:r>
        <w:t xml:space="preserve">Licență: Condiții distincte pentru fiecare sursă · </w:t>
      </w:r>
    </w:p>
    <w:p>
      <w:pPr>
        <w:pStyle w:val="Body"/>
      </w:pPr>
      <w:r>
        <w:t xml:space="preserve">Set de date pregătit (UTC): 2026-10-08T12:41:49.051433+00:00</w:t>
      </w:r>
    </w:p>
    <w:p>
      <w:pPr>
        <w:pStyle w:val="Body"/>
      </w:pPr>
      <w:r>
        <w:t xml:space="preserve">Versiunea datelor: 221df65e88eae26ef01fd60cf52d37f538e69ab32083e71eb6b3368631b3a938</w:t>
      </w:r>
    </w:p>
    <w:p>
      <w:pPr>
        <w:pStyle w:val="Body"/>
      </w:pPr>
      <w:r>
        <w:t xml:space="preserve">Commit-ul codului: 1d4358129e583b73b079b0d6255bfa0da478922a</w:t>
      </w:r>
    </w:p>
    <w:p>
      <w:pPr>
        <w:pStyle w:val="Body"/>
      </w:pPr>
      <w:r>
        <w:t xml:space="preserve">Arborele codului: de2a9f6fd58aca39a547b6e71ddcc8360b473169</w:t>
      </w:r>
    </w:p>
    <w:p>
      <w:pPr>
        <w:pStyle w:val="Body"/>
      </w:pPr>
      <w:r>
        <w:t xml:space="preserve">Risc: Necalculat</w:t>
      </w:r>
    </w:p>
    <w:p>
      <w:pPr>
        <w:pStyle w:val="Body"/>
      </w:pPr>
      <w:r>
        <w:t xml:space="preserve">Starea evaluării riscului: Necalculat</w:t>
      </w:r>
    </w:p>
    <w:p>
      <w:pPr>
        <w:pStyle w:val="Body"/>
      </w:pPr>
      <w:r>
        <w:t xml:space="preserve">Starea raportului: Versiune preliminară, care necesită completări și îmbunătățiri. Această versiune preliminară include indicatori selectați despre terenuri, sol și secetă, statistici agricole și surse economice datate. Calculele climatice, ET0, indicii de vegetație și scenariile de irigare nu sunt incluse.</w:t>
      </w:r>
    </w:p>
    <w:p>
      <w:pPr>
        <w:pStyle w:val="Body"/>
      </w:pPr>
      <w:r>
        <w:t xml:space="preserve">Indicatori calculați: 17</w:t>
      </w:r>
    </w:p>
    <w:p>
      <w:pPr>
        <w:pStyle w:val="Body"/>
      </w:pPr>
      <w:r>
        <w:t xml:space="preserve">Versiunea generatorului comun de rapoarte: country-bulletin/1.6.8</w:t>
      </w:r>
    </w:p>
    <w:p>
      <w:pPr>
        <w:pStyle w:val="Body"/>
      </w:pPr>
      <w:r>
        <w:t xml:space="preserve">Codul țării: RO</w:t>
      </w:r>
    </w:p>
    <w:p>
      <w:pPr>
        <w:pStyle w:val="Body"/>
      </w:pPr>
      <w:r>
        <w:t xml:space="preserve">Țara: România</w:t>
      </w:r>
    </w:p>
    <w:p>
      <w:pPr>
        <w:pStyle w:val="Body"/>
      </w:pPr>
      <w:r>
        <w:t xml:space="preserve">Altitudine medie · Metodă: terrascore.spatial-support/1.0.0 · Suma valorii înmulțite cu aria validă, împărțită la aria validă; pentru categorii se raportează ponderi de suprafață.</w:t>
      </w:r>
    </w:p>
    <w:p>
      <w:pPr>
        <w:pStyle w:val="Body"/>
      </w:pPr>
      <w:r>
        <w:t xml:space="preserve">Altitudine medie · Hash-ul specificației metodei: fd19c5bd43f58fbc702eca808994ad086bd3a3f75851285cb8dc3728a7f13643</w:t>
      </w:r>
    </w:p>
    <w:p>
      <w:pPr>
        <w:pStyle w:val="Body"/>
      </w:pPr>
      <w:r>
        <w:t xml:space="preserve">Altitudine medie · Starea rezultatului: Model · Medie pe suportul valid, ponderată după aria de intersecție; nu reprezintă o observație la nivel de parcelă.</w:t>
      </w:r>
    </w:p>
    <w:p>
      <w:pPr>
        <w:pStyle w:val="Body"/>
      </w:pPr>
      <w:r>
        <w:t xml:space="preserve">Altitudine medie · Observații privind calitatea datelor: DSM_NOT_BARE_EARTH_DTM; AGGREGATED_0.005_DEGREE; MULTIPLE_SOURCE_RECEIPTS_IN_BOUND_REGISTER</w:t>
      </w:r>
    </w:p>
    <w:p>
      <w:pPr>
        <w:pStyle w:val="Body"/>
      </w:pPr>
      <w:r>
        <w:t xml:space="preserve">Pantă medie · Metodă: terrascore.spatial-support/1.0.0 · Suma valorii înmulțite cu aria validă, împărțită la aria validă; pentru categorii se raportează ponderi de suprafață.</w:t>
      </w:r>
    </w:p>
    <w:p>
      <w:pPr>
        <w:pStyle w:val="Body"/>
      </w:pPr>
      <w:r>
        <w:t xml:space="preserve">Pantă medie · Hash-ul specificației metodei: fd19c5bd43f58fbc702eca808994ad086bd3a3f75851285cb8dc3728a7f13643</w:t>
      </w:r>
    </w:p>
    <w:p>
      <w:pPr>
        <w:pStyle w:val="Body"/>
      </w:pPr>
      <w:r>
        <w:t xml:space="preserve">Pantă medie · Starea rezultatului: Model · Medie pe suportul valid, ponderată după aria de intersecție; nu reprezintă o observație la nivel de parcelă.</w:t>
      </w:r>
    </w:p>
    <w:p>
      <w:pPr>
        <w:pStyle w:val="Body"/>
      </w:pPr>
      <w:r>
        <w:t xml:space="preserve">Pantă medie · Observații privind calitatea datelor: DSM_NOT_BARE_EARTH_DTM; AGGREGATED_0.005_DEGREE; MULTIPLE_SOURCE_RECEIPTS_IN_BOUND_REGISTER</w:t>
      </w:r>
    </w:p>
    <w:p>
      <w:pPr>
        <w:pStyle w:val="Body"/>
      </w:pPr>
      <w:r>
        <w:t xml:space="preserve">Suprafață cultivată 2021 · Metodă: terrascore.spatial-support/1.0.0 · Suma fracției de teren cultivat × aria validă de intersecție (m²), împărțită la 10 000 pentru hectare.</w:t>
      </w:r>
    </w:p>
    <w:p>
      <w:pPr>
        <w:pStyle w:val="Body"/>
      </w:pPr>
      <w:r>
        <w:t xml:space="preserve">Suprafață cultivată 2021 · Hash-ul specificației metodei: fd19c5bd43f58fbc702eca808994ad086bd3a3f75851285cb8dc3728a7f13643</w:t>
      </w:r>
    </w:p>
    <w:p>
      <w:pPr>
        <w:pStyle w:val="Body"/>
      </w:pPr>
      <w:r>
        <w:t xml:space="preserve">Suprafață cultivată 2021 · Starea rezultatului: Model · Suprafața estimată a terenului cultivat pe aria validă; fără o a doua ponderare cu fracția cultivată. Nu reprezintă suprafața semănată observată în anul selectat.</w:t>
      </w:r>
    </w:p>
    <w:p>
      <w:pPr>
        <w:pStyle w:val="Body"/>
      </w:pPr>
      <w:r>
        <w:t xml:space="preserve">Suprafață cultivată 2021 · Observații privind calitatea datelor: DATED_MASK_NOT_2026_CROP_MAP; AREA_MEASURE_NO_SECOND_CROPLAND_WEIGHTING; MULTIPLE_SOURCE_RECEIPTS_IN_BOUND_REGISTER</w:t>
      </w:r>
    </w:p>
    <w:p>
      <w:pPr>
        <w:pStyle w:val="Body"/>
      </w:pPr>
      <w:r>
        <w:t xml:space="preserve">pH în apă · Metodă: terrascore.spatial-support/1.0.0; native projected ESRI:54052; specification/1.0.1 · Suma valorii înmulțite cu aria validă, împărțită la aria validă; pentru categorii se raportează ponderi de suprafață.</w:t>
      </w:r>
    </w:p>
    <w:p>
      <w:pPr>
        <w:pStyle w:val="Body"/>
      </w:pPr>
      <w:r>
        <w:t xml:space="preserve">pH în apă · Hash-ul specificației metodei: fd19c5bd43f58fbc702eca808994ad086bd3a3f75851285cb8dc3728a7f13643</w:t>
      </w:r>
    </w:p>
    <w:p>
      <w:pPr>
        <w:pStyle w:val="Body"/>
      </w:pPr>
      <w:r>
        <w:t xml:space="preserve">pH în apă · Starea rezultatului: Model · Medie pe suportul valid, ponderată după aria de intersecție; nu reprezintă o observație la nivel de parcelă.</w:t>
      </w:r>
    </w:p>
    <w:p>
      <w:pPr>
        <w:pStyle w:val="Body"/>
      </w:pPr>
      <w:r>
        <w:t xml:space="preserve">pH în apă · Observații privind calitatea datelor: MODEL_SOIL_NOT_LAB; STATIC_DEPTH_INTERVAL; QUANTILES_NOT_INCLUDED; AREA_SUPPORT_NATIVE_ESRI_54052_NOT_EPSG3035</w:t>
      </w:r>
    </w:p>
    <w:p>
      <w:pPr>
        <w:pStyle w:val="Body"/>
      </w:pPr>
      <w:r>
        <w:t xml:space="preserve">Argilă · Metodă: terrascore.spatial-support/1.0.0; native projected ESRI:54052; specification/1.0.1 · Suma valorii înmulțite cu aria validă, împărțită la aria validă; pentru categorii se raportează ponderi de suprafață.</w:t>
      </w:r>
    </w:p>
    <w:p>
      <w:pPr>
        <w:pStyle w:val="Body"/>
      </w:pPr>
      <w:r>
        <w:t xml:space="preserve">Argilă · Hash-ul specificației metodei: fd19c5bd43f58fbc702eca808994ad086bd3a3f75851285cb8dc3728a7f13643</w:t>
      </w:r>
    </w:p>
    <w:p>
      <w:pPr>
        <w:pStyle w:val="Body"/>
      </w:pPr>
      <w:r>
        <w:t xml:space="preserve">Argilă · Starea rezultatului: Model · Medie pe suportul valid, ponderată după aria de intersecție; nu reprezintă o observație la nivel de parcelă.</w:t>
      </w:r>
    </w:p>
    <w:p>
      <w:pPr>
        <w:pStyle w:val="Body"/>
      </w:pPr>
      <w:r>
        <w:t xml:space="preserve">Argilă · Observații privind calitatea datelor: MODEL_SOIL_NOT_LAB; STATIC_DEPTH_INTERVAL; QUANTILES_NOT_INCLUDED; AREA_SUPPORT_NATIVE_ESRI_54052_NOT_EPSG3035</w:t>
      </w:r>
    </w:p>
    <w:p>
      <w:pPr>
        <w:pStyle w:val="Body"/>
      </w:pPr>
      <w:r>
        <w:t xml:space="preserve">Carbon organic în sol · Metodă: terrascore.spatial-support/1.0.0; native projected ESRI:54052; specification/1.0.1 · Suma valorii înmulțite cu aria validă, împărțită la aria validă; pentru categorii se raportează ponderi de suprafață.</w:t>
      </w:r>
    </w:p>
    <w:p>
      <w:pPr>
        <w:pStyle w:val="Body"/>
      </w:pPr>
      <w:r>
        <w:t xml:space="preserve">Carbon organic în sol · Hash-ul specificației metodei: fd19c5bd43f58fbc702eca808994ad086bd3a3f75851285cb8dc3728a7f13643</w:t>
      </w:r>
    </w:p>
    <w:p>
      <w:pPr>
        <w:pStyle w:val="Body"/>
      </w:pPr>
      <w:r>
        <w:t xml:space="preserve">Carbon organic în sol · Starea rezultatului: Model · Medie pe suportul valid, ponderată după aria de intersecție; nu reprezintă o observație la nivel de parcelă.</w:t>
      </w:r>
    </w:p>
    <w:p>
      <w:pPr>
        <w:pStyle w:val="Body"/>
      </w:pPr>
      <w:r>
        <w:t xml:space="preserve">Carbon organic în sol · Observații privind calitatea datelor: MODEL_SOIL_NOT_LAB; STATIC_DEPTH_INTERVAL; QUANTILES_NOT_INCLUDED; AREA_SUPPORT_NATIVE_ESRI_54052_NOT_EPSG3035</w:t>
      </w:r>
    </w:p>
    <w:p>
      <w:pPr>
        <w:pStyle w:val="Body"/>
      </w:pPr>
      <w:r>
        <w:t xml:space="preserve">Fără secetă · Metodă: categorical-area-share/1.0.0 · Suma valorii înmulțite cu aria validă, împărțită la aria validă; pentru categorii se raportează ponderi de suprafață.</w:t>
      </w:r>
    </w:p>
    <w:p>
      <w:pPr>
        <w:pStyle w:val="Body"/>
      </w:pPr>
      <w:r>
        <w:t xml:space="preserve">Fără secetă · Hash-ul specificației metodei: fd19c5bd43f58fbc702eca808994ad086bd3a3f75851285cb8dc3728a7f13643</w:t>
      </w:r>
    </w:p>
    <w:p>
      <w:pPr>
        <w:pStyle w:val="Body"/>
      </w:pPr>
      <w:r>
        <w:t xml:space="preserve">Fără secetă · Starea rezultatului: Model · Medie pe suportul valid, ponderată după aria de intersecție; nu reprezintă o observație la nivel de parcelă.</w:t>
      </w:r>
    </w:p>
    <w:p>
      <w:pPr>
        <w:pStyle w:val="Body"/>
      </w:pPr>
      <w:r>
        <w:t xml:space="preserve">Fără secetă · Observații privind calitatea datelor: CDI_NOT_SCALAR_RISK; EASTERN_POLAND_DRY_BIAS_WARNING; MULTIPLE_SOURCE_RECEIPTS_IN_BOUND_REGISTER</w:t>
      </w:r>
    </w:p>
    <w:p>
      <w:pPr>
        <w:pStyle w:val="Body"/>
      </w:pPr>
      <w:r>
        <w:t xml:space="preserve">Supraveghere · deficit de precipitații · Metodă: categorical-area-share/1.0.0 · Suma valorii înmulțite cu aria validă, împărțită la aria validă; pentru categorii se raportează ponderi de suprafață.</w:t>
      </w:r>
    </w:p>
    <w:p>
      <w:pPr>
        <w:pStyle w:val="Body"/>
      </w:pPr>
      <w:r>
        <w:t xml:space="preserve">Supraveghere · deficit de precipitații · Hash-ul specificației metodei: fd19c5bd43f58fbc702eca808994ad086bd3a3f75851285cb8dc3728a7f13643</w:t>
      </w:r>
    </w:p>
    <w:p>
      <w:pPr>
        <w:pStyle w:val="Body"/>
      </w:pPr>
      <w:r>
        <w:t xml:space="preserve">Supraveghere · deficit de precipitații · Starea rezultatului: Model · Medie pe suportul valid, ponderată după aria de intersecție; nu reprezintă o observație la nivel de parcelă.</w:t>
      </w:r>
    </w:p>
    <w:p>
      <w:pPr>
        <w:pStyle w:val="Body"/>
      </w:pPr>
      <w:r>
        <w:t xml:space="preserve">Supraveghere · deficit de precipitații · Observații privind calitatea datelor: CDI_NOT_SCALAR_RISK; EASTERN_POLAND_DRY_BIAS_WARNING; MULTIPLE_SOURCE_RECEIPTS_IN_BOUND_REGISTER</w:t>
      </w:r>
    </w:p>
    <w:p>
      <w:pPr>
        <w:pStyle w:val="Body"/>
      </w:pPr>
      <w:r>
        <w:t xml:space="preserve">Avertizare · deficit de umiditate în sol · Metodă: categorical-area-share/1.0.0 · Suma valorii înmulțite cu aria validă, împărțită la aria validă; pentru categorii se raportează ponderi de suprafață.</w:t>
      </w:r>
    </w:p>
    <w:p>
      <w:pPr>
        <w:pStyle w:val="Body"/>
      </w:pPr>
      <w:r>
        <w:t xml:space="preserve">Avertizare · deficit de umiditate în sol · Hash-ul specificației metodei: fd19c5bd43f58fbc702eca808994ad086bd3a3f75851285cb8dc3728a7f13643</w:t>
      </w:r>
    </w:p>
    <w:p>
      <w:pPr>
        <w:pStyle w:val="Body"/>
      </w:pPr>
      <w:r>
        <w:t xml:space="preserve">Avertizare · deficit de umiditate în sol · Starea rezultatului: Model · Medie pe suportul valid, ponderată după aria de intersecție; nu reprezintă o observație la nivel de parcelă.</w:t>
      </w:r>
    </w:p>
    <w:p>
      <w:pPr>
        <w:pStyle w:val="Body"/>
      </w:pPr>
      <w:r>
        <w:t xml:space="preserve">Avertizare · deficit de umiditate în sol · Observații privind calitatea datelor: CDI_NOT_SCALAR_RISK; EASTERN_POLAND_DRY_BIAS_WARNING; MULTIPLE_SOURCE_RECEIPTS_IN_BOUND_REGISTER</w:t>
      </w:r>
    </w:p>
    <w:p>
      <w:pPr>
        <w:pStyle w:val="Body"/>
      </w:pPr>
      <w:r>
        <w:t xml:space="preserve">Alertă · stres al vegetației · Metodă: categorical-area-share/1.0.0 · Suma valorii înmulțite cu aria validă, împărțită la aria validă; pentru categorii se raportează ponderi de suprafață.</w:t>
      </w:r>
    </w:p>
    <w:p>
      <w:pPr>
        <w:pStyle w:val="Body"/>
      </w:pPr>
      <w:r>
        <w:t xml:space="preserve">Alertă · stres al vegetației · Hash-ul specificației metodei: fd19c5bd43f58fbc702eca808994ad086bd3a3f75851285cb8dc3728a7f13643</w:t>
      </w:r>
    </w:p>
    <w:p>
      <w:pPr>
        <w:pStyle w:val="Body"/>
      </w:pPr>
      <w:r>
        <w:t xml:space="preserve">Alertă · stres al vegetației · Starea rezultatului: Model · Medie pe suportul valid, ponderată după aria de intersecție; nu reprezintă o observație la nivel de parcelă.</w:t>
      </w:r>
    </w:p>
    <w:p>
      <w:pPr>
        <w:pStyle w:val="Body"/>
      </w:pPr>
      <w:r>
        <w:t xml:space="preserve">Alertă · stres al vegetației · Observații privind calitatea datelor: CDI_NOT_SCALAR_RISK; EASTERN_POLAND_DRY_BIAS_WARNING; MULTIPLE_SOURCE_RECEIPTS_IN_BOUND_REGISTER</w:t>
      </w:r>
    </w:p>
    <w:p>
      <w:pPr>
        <w:pStyle w:val="Body"/>
      </w:pPr>
      <w:r>
        <w:t xml:space="preserve">Revenire la condiții normale · Metodă: categorical-area-share/1.0.0 · Suma valorii înmulțite cu aria validă, împărțită la aria validă; pentru categorii se raportează ponderi de suprafață.</w:t>
      </w:r>
    </w:p>
    <w:p>
      <w:pPr>
        <w:pStyle w:val="Body"/>
      </w:pPr>
      <w:r>
        <w:t xml:space="preserve">Revenire la condiții normale · Hash-ul specificației metodei: fd19c5bd43f58fbc702eca808994ad086bd3a3f75851285cb8dc3728a7f13643</w:t>
      </w:r>
    </w:p>
    <w:p>
      <w:pPr>
        <w:pStyle w:val="Body"/>
      </w:pPr>
      <w:r>
        <w:t xml:space="preserve">Revenire la condiții normale · Starea rezultatului: Model · Medie pe suportul valid, ponderată după aria de intersecție; nu reprezintă o observație la nivel de parcelă.</w:t>
      </w:r>
    </w:p>
    <w:p>
      <w:pPr>
        <w:pStyle w:val="Body"/>
      </w:pPr>
      <w:r>
        <w:t xml:space="preserve">Revenire la condiții normale · Observații privind calitatea datelor: CDI_NOT_SCALAR_RISK; EASTERN_POLAND_DRY_BIAS_WARNING; MULTIPLE_SOURCE_RECEIPTS_IN_BOUND_REGISTER</w:t>
      </w:r>
    </w:p>
    <w:p>
      <w:pPr>
        <w:pStyle w:val="Body"/>
      </w:pPr>
      <w:r>
        <w:t xml:space="preserve">Refacere temporară a vegetației · Metodă: categorical-area-share/1.0.0 · Suma valorii înmulțite cu aria validă, împărțită la aria validă; pentru categorii se raportează ponderi de suprafață.</w:t>
      </w:r>
    </w:p>
    <w:p>
      <w:pPr>
        <w:pStyle w:val="Body"/>
      </w:pPr>
      <w:r>
        <w:t xml:space="preserve">Refacere temporară a vegetației · Hash-ul specificației metodei: fd19c5bd43f58fbc702eca808994ad086bd3a3f75851285cb8dc3728a7f13643</w:t>
      </w:r>
    </w:p>
    <w:p>
      <w:pPr>
        <w:pStyle w:val="Body"/>
      </w:pPr>
      <w:r>
        <w:t xml:space="preserve">Refacere temporară a vegetației · Starea rezultatului: Model · Medie pe suportul valid, ponderată după aria de intersecție; nu reprezintă o observație la nivel de parcelă.</w:t>
      </w:r>
    </w:p>
    <w:p>
      <w:pPr>
        <w:pStyle w:val="Body"/>
      </w:pPr>
      <w:r>
        <w:t xml:space="preserve">Refacere temporară a vegetației · Observații privind calitatea datelor: CDI_NOT_SCALAR_RISK; EASTERN_POLAND_DRY_BIAS_WARNING; MULTIPLE_SOURCE_RECEIPTS_IN_BOUND_REGISTER</w:t>
      </w:r>
    </w:p>
    <w:p>
      <w:pPr>
        <w:pStyle w:val="Body"/>
      </w:pPr>
      <w:r>
        <w:t xml:space="preserve">Refacere temporară a umidității solului · Metodă: categorical-area-share/1.0.0 · Suma valorii înmulțite cu aria validă, împărțită la aria validă; pentru categorii se raportează ponderi de suprafață.</w:t>
      </w:r>
    </w:p>
    <w:p>
      <w:pPr>
        <w:pStyle w:val="Body"/>
      </w:pPr>
      <w:r>
        <w:t xml:space="preserve">Refacere temporară a umidității solului · Hash-ul specificației metodei: fd19c5bd43f58fbc702eca808994ad086bd3a3f75851285cb8dc3728a7f13643</w:t>
      </w:r>
    </w:p>
    <w:p>
      <w:pPr>
        <w:pStyle w:val="Body"/>
      </w:pPr>
      <w:r>
        <w:t xml:space="preserve">Refacere temporară a umidității solului · Starea rezultatului: Model · Medie pe suportul valid, ponderată după aria de intersecție; nu reprezintă o observație la nivel de parcelă.</w:t>
      </w:r>
    </w:p>
    <w:p>
      <w:pPr>
        <w:pStyle w:val="Body"/>
      </w:pPr>
      <w:r>
        <w:t xml:space="preserve">Refacere temporară a umidității solului · Observații privind calitatea datelor: CDI_NOT_SCALAR_RISK; EASTERN_POLAND_DRY_BIAS_WARNING; MULTIPLE_SOURCE_RECEIPTS_IN_BOUND_REGISTER</w:t>
      </w:r>
    </w:p>
    <w:p>
      <w:pPr>
        <w:pStyle w:val="Body"/>
      </w:pPr>
      <w:r>
        <w:t xml:space="preserve">Suprafață · mii ha · Metodă: EUROSTAT_NATIVE_OBSERVATION/1.0.0 · </w:t>
      </w:r>
    </w:p>
    <w:p>
      <w:pPr>
        <w:pStyle w:val="Body"/>
      </w:pPr>
      <w:r>
        <w:t xml:space="preserve">Suprafață · mii ha · Hash-ul specificației metodei: </w:t>
      </w:r>
    </w:p>
    <w:p>
      <w:pPr>
        <w:pStyle w:val="Body"/>
      </w:pPr>
      <w:r>
        <w:t xml:space="preserve">Suprafață · mii ha · Starea rezultatului: Statistică oficială · Teritoriul statistic are propriul cod Eurostat/NUTS și nu este echivalat automat cu ADM1. Datele nu sunt repartizate la localități. Se păstrează definițiile suprafeței și umidității.</w:t>
      </w:r>
    </w:p>
    <w:p>
      <w:pPr>
        <w:pStyle w:val="Body"/>
      </w:pPr>
      <w:r>
        <w:t xml:space="preserve">Suprafață · mii ha · Observații privind calitatea datelor: </w:t>
      </w:r>
    </w:p>
    <w:p>
      <w:pPr>
        <w:pStyle w:val="Body"/>
      </w:pPr>
      <w:r>
        <w:t xml:space="preserve">Umiditate standard UE · % · Metodă: EUROSTAT_NATIVE_OBSERVATION/1.0.0 · </w:t>
      </w:r>
    </w:p>
    <w:p>
      <w:pPr>
        <w:pStyle w:val="Body"/>
      </w:pPr>
      <w:r>
        <w:t xml:space="preserve">Umiditate standard UE · % · Hash-ul specificației metodei: </w:t>
      </w:r>
    </w:p>
    <w:p>
      <w:pPr>
        <w:pStyle w:val="Body"/>
      </w:pPr>
      <w:r>
        <w:t xml:space="preserve">Umiditate standard UE · % · Starea rezultatului: Statistică oficială · Teritoriul statistic are propriul cod Eurostat/NUTS și nu este echivalat automat cu ADM1. Datele nu sunt repartizate la localități. Se păstrează definițiile suprafeței și umidității.</w:t>
      </w:r>
    </w:p>
    <w:p>
      <w:pPr>
        <w:pStyle w:val="Body"/>
      </w:pPr>
      <w:r>
        <w:t xml:space="preserve">Umiditate standard UE · % · Observații privind calitatea datelor: </w:t>
      </w:r>
    </w:p>
    <w:p>
      <w:pPr>
        <w:pStyle w:val="Body"/>
      </w:pPr>
      <w:r>
        <w:t xml:space="preserve">Producție la umiditate UE · mii t · Metodă: EUROSTAT_NATIVE_OBSERVATION/1.0.0 · </w:t>
      </w:r>
    </w:p>
    <w:p>
      <w:pPr>
        <w:pStyle w:val="Body"/>
      </w:pPr>
      <w:r>
        <w:t xml:space="preserve">Producție la umiditate UE · mii t · Hash-ul specificației metodei: </w:t>
      </w:r>
    </w:p>
    <w:p>
      <w:pPr>
        <w:pStyle w:val="Body"/>
      </w:pPr>
      <w:r>
        <w:t xml:space="preserve">Producție la umiditate UE · mii t · Starea rezultatului: Statistică oficială · Teritoriul statistic are propriul cod Eurostat/NUTS și nu este echivalat automat cu ADM1. Datele nu sunt repartizate la localități. Se păstrează definițiile suprafeței și umidității.</w:t>
      </w:r>
    </w:p>
    <w:p>
      <w:pPr>
        <w:pStyle w:val="Body"/>
      </w:pPr>
      <w:r>
        <w:t xml:space="preserve">Producție la umiditate UE · mii t · Observații privind calitatea datelor: </w:t>
      </w:r>
    </w:p>
    <w:p>
      <w:pPr>
        <w:pStyle w:val="Body"/>
      </w:pPr>
      <w:r>
        <w:t xml:space="preserve">Randament la umiditate UE · t/ha · Metodă: EUROSTAT_NATIVE_OBSERVATION/1.0.0 · </w:t>
      </w:r>
    </w:p>
    <w:p>
      <w:pPr>
        <w:pStyle w:val="Body"/>
      </w:pPr>
      <w:r>
        <w:t xml:space="preserve">Randament la umiditate UE · t/ha · Hash-ul specificației metodei: </w:t>
      </w:r>
    </w:p>
    <w:p>
      <w:pPr>
        <w:pStyle w:val="Body"/>
      </w:pPr>
      <w:r>
        <w:t xml:space="preserve">Randament la umiditate UE · t/ha · Starea rezultatului: Statistică oficială · Teritoriul statistic are propriul cod Eurostat/NUTS și nu este echivalat automat cu ADM1. Datele nu sunt repartizate la localități. Se păstrează definițiile suprafeței și umidității.</w:t>
      </w:r>
    </w:p>
    <w:p>
      <w:pPr>
        <w:pStyle w:val="Body"/>
      </w:pPr>
      <w:r>
        <w:t xml:space="preserve">Randament la umiditate UE · t/ha · Observații privind calitatea datelor: </w:t>
      </w:r>
    </w:p>
    <w:p>
      <w:pPr>
        <w:pStyle w:val="Body"/>
      </w:pPr>
      <w:r>
        <w:t xml:space="preserve">Hash-ul sursei: 1495ea835d2981e88ac45474c58d32dd7616b0fb992168c8ae440d86225fc980</w:t>
      </w:r>
    </w:p>
    <w:p>
      <w:pPr>
        <w:pStyle w:val="Body"/>
      </w:pPr>
      <w:r>
        <w:t xml:space="preserve">Sursa indicatorului: Copernicus DEM GLO90 DSM · </w:t>
      </w:r>
    </w:p>
    <w:p>
      <w:pPr>
        <w:pStyle w:val="Body"/>
      </w:pPr>
      <w:r>
        <w:t xml:space="preserve">Obținut la UTC: </w:t>
      </w:r>
    </w:p>
    <w:p>
      <w:pPr>
        <w:pStyle w:val="Body"/>
      </w:pPr>
      <w:r>
        <w:t xml:space="preserve">Suportul spațial: ROU-ADM0-16175383; RO:geo:ROU-ADM0-16175383:national:ALL_LAND; Întregul teritoriu</w:t>
      </w:r>
    </w:p>
    <w:p>
      <w:pPr>
        <w:pStyle w:val="Body"/>
      </w:pPr>
      <w:r>
        <w:t xml:space="preserve">Ipoteze: Medie pe suportul valid, ponderată după aria de intersecție; nu reprezintă o observație la nivel de parcelă.; WorldCover 2021 v200 nu este o hartă a culturilor din 2026. Copernicus GLO90 este un model al suprafeței, nu un model garantat al terenului gol.</w:t>
      </w:r>
    </w:p>
    <w:p>
      <w:pPr>
        <w:pStyle w:val="Body"/>
      </w:pPr>
      <w:r>
        <w:t xml:space="preserve">Incertitudine: Acoperirea nu este un interval de încredere sau o garanție de precizie.</w:t>
      </w:r>
    </w:p>
    <w:p>
      <w:pPr>
        <w:pStyle w:val="Body"/>
      </w:pPr>
      <w:r>
        <w:t xml:space="preserve">Hash-ul sursei: 3bbae2d3ec2678523fc61148b749df73b6f61aeab10c12e3e45d63f969f00b67</w:t>
      </w:r>
    </w:p>
    <w:p>
      <w:pPr>
        <w:pStyle w:val="Body"/>
      </w:pPr>
      <w:r>
        <w:t xml:space="preserve">Sursa indicatorului: Copernicus DEM GLO90 DSM · </w:t>
      </w:r>
    </w:p>
    <w:p>
      <w:pPr>
        <w:pStyle w:val="Body"/>
      </w:pPr>
      <w:r>
        <w:t xml:space="preserve">Obținut la UTC: </w:t>
      </w:r>
    </w:p>
    <w:p>
      <w:pPr>
        <w:pStyle w:val="Body"/>
      </w:pPr>
      <w:r>
        <w:t xml:space="preserve">Suportul spațial: ROU-ADM0-16175383; RO:geo:ROU-ADM0-16175383:national:ALL_LAND; Întregul teritoriu</w:t>
      </w:r>
    </w:p>
    <w:p>
      <w:pPr>
        <w:pStyle w:val="Body"/>
      </w:pPr>
      <w:r>
        <w:t xml:space="preserve">Ipoteze: Medie pe suportul valid, ponderată după aria de intersecție; nu reprezintă o observație la nivel de parcelă.; WorldCover 2021 v200 nu este o hartă a culturilor din 2026. Copernicus GLO90 este un model al suprafeței, nu un model garantat al terenului gol.</w:t>
      </w:r>
    </w:p>
    <w:p>
      <w:pPr>
        <w:pStyle w:val="Body"/>
      </w:pPr>
      <w:r>
        <w:t xml:space="preserve">Incertitudine: Acoperirea nu este un interval de încredere sau o garanție de precizie.</w:t>
      </w:r>
    </w:p>
    <w:p>
      <w:pPr>
        <w:pStyle w:val="Body"/>
      </w:pPr>
      <w:r>
        <w:t xml:space="preserve">Hash-ul sursei: cf484c4e3bebdfb7770333005fafe56fbe19640023688cc428b33f34a7ad6b31</w:t>
      </w:r>
    </w:p>
    <w:p>
      <w:pPr>
        <w:pStyle w:val="Body"/>
      </w:pPr>
      <w:r>
        <w:t xml:space="preserve">Sursa indicatorului: ESA WorldCover2021 v200 · </w:t>
      </w:r>
    </w:p>
    <w:p>
      <w:pPr>
        <w:pStyle w:val="Body"/>
      </w:pPr>
      <w:r>
        <w:t xml:space="preserve">Obținut la UTC: </w:t>
      </w:r>
    </w:p>
    <w:p>
      <w:pPr>
        <w:pStyle w:val="Body"/>
      </w:pPr>
      <w:r>
        <w:t xml:space="preserve">Suportul spațial: ROU-ADM0-16175383; RO:geo:ROU-ADM0-16175383:national:ALL_LAND; Întregul teritoriu</w:t>
      </w:r>
    </w:p>
    <w:p>
      <w:pPr>
        <w:pStyle w:val="Body"/>
      </w:pPr>
      <w:r>
        <w:t xml:space="preserve">Ipoteze: Suprafața estimată a terenului cultivat pe aria validă; fără o a doua ponderare cu fracția cultivată. Nu reprezintă suprafața semănată observată în anul selectat.; WorldCover 2021 v200 nu este o hartă a culturilor din 2026. Copernicus GLO90 este un model al suprafeței, nu un model garantat al terenului gol.</w:t>
      </w:r>
    </w:p>
    <w:p>
      <w:pPr>
        <w:pStyle w:val="Body"/>
      </w:pPr>
      <w:r>
        <w:t xml:space="preserve">Incertitudine: Acoperirea nu este un interval de încredere sau o garanție de precizie.</w:t>
      </w:r>
    </w:p>
    <w:p>
      <w:pPr>
        <w:pStyle w:val="Body"/>
      </w:pPr>
      <w:r>
        <w:t xml:space="preserve">Hash-ul sursei: 78527e37569c54668d3cbbf9d43d29c55590bfd87ebc1a5b27153acef8ca55ac</w:t>
      </w:r>
    </w:p>
    <w:p>
      <w:pPr>
        <w:pStyle w:val="Body"/>
      </w:pPr>
      <w:r>
        <w:t xml:space="preserve">Sursa indicatorului: ISRIC SoilGrids2.0 1km mean; 0-5cm · https://files.isric.org/soilgrids/latest/data_aggregated/1000m/phh2o/phh2o_0-5cm_mean_1000.tif</w:t>
      </w:r>
    </w:p>
    <w:p>
      <w:pPr>
        <w:pStyle w:val="Body"/>
      </w:pPr>
      <w:r>
        <w:t xml:space="preserve">Obținut la UTC: 2026-10-07T19:28:46.828534+00:00</w:t>
      </w:r>
    </w:p>
    <w:p>
      <w:pPr>
        <w:pStyle w:val="Body"/>
      </w:pPr>
      <w:r>
        <w:t xml:space="preserve">Suportul spațial: ROU-ADM0-16175383; RO:geo:ROU-ADM0-16175383:national:ALL_LAND; Întregul teritoriu</w:t>
      </w:r>
    </w:p>
    <w:p>
      <w:pPr>
        <w:pStyle w:val="Body"/>
      </w:pPr>
      <w:r>
        <w:t xml:space="preserve">Ipoteze: Medie pe suportul valid, ponderată după aria de intersecție; nu reprezintă o observație la nivel de parcelă.; SoilGrids 2.0: medii modelate la 1 km și adâncimi explicite, nu analize de laborator. Cuantilele nu sunt incluse. pH este o medie a hărții, nu un calcul de amestec chimic. Ponderile de suprafață ale solului sunt calculate în proiecția nativă ESRI:54052; nu sunt arii EPSG:3035.</w:t>
      </w:r>
    </w:p>
    <w:p>
      <w:pPr>
        <w:pStyle w:val="Body"/>
      </w:pPr>
      <w:r>
        <w:t xml:space="preserve">Incertitudine: Acoperirea nu este un interval de încredere sau o garanție de precizie.</w:t>
      </w:r>
    </w:p>
    <w:p>
      <w:pPr>
        <w:pStyle w:val="Body"/>
      </w:pPr>
      <w:r>
        <w:t xml:space="preserve">Hash-ul sursei: 0216ec86484b72d62def999a5007038f5403edd63807f000eff45174f6377bd9</w:t>
      </w:r>
    </w:p>
    <w:p>
      <w:pPr>
        <w:pStyle w:val="Body"/>
      </w:pPr>
      <w:r>
        <w:t xml:space="preserve">Sursa indicatorului: ISRIC SoilGrids2.0 1km mean; 0-5cm · https://files.isric.org/soilgrids/latest/data_aggregated/1000m/clay/clay_0-5cm_mean_1000.tif</w:t>
      </w:r>
    </w:p>
    <w:p>
      <w:pPr>
        <w:pStyle w:val="Body"/>
      </w:pPr>
      <w:r>
        <w:t xml:space="preserve">Obținut la UTC: 2026-10-07T19:28:56.269183+00:00</w:t>
      </w:r>
    </w:p>
    <w:p>
      <w:pPr>
        <w:pStyle w:val="Body"/>
      </w:pPr>
      <w:r>
        <w:t xml:space="preserve">Suportul spațial: ROU-ADM0-16175383; RO:geo:ROU-ADM0-16175383:national:ALL_LAND; Întregul teritoriu</w:t>
      </w:r>
    </w:p>
    <w:p>
      <w:pPr>
        <w:pStyle w:val="Body"/>
      </w:pPr>
      <w:r>
        <w:t xml:space="preserve">Ipoteze: Medie pe suportul valid, ponderată după aria de intersecție; nu reprezintă o observație la nivel de parcelă.; SoilGrids 2.0: medii modelate la 1 km și adâncimi explicite, nu analize de laborator. Cuantilele nu sunt incluse. pH este o medie a hărții, nu un calcul de amestec chimic. Ponderile de suprafață ale solului sunt calculate în proiecția nativă ESRI:54052; nu sunt arii EPSG:3035.</w:t>
      </w:r>
    </w:p>
    <w:p>
      <w:pPr>
        <w:pStyle w:val="Body"/>
      </w:pPr>
      <w:r>
        <w:t xml:space="preserve">Incertitudine: Acoperirea nu este un interval de încredere sau o garanție de precizie.</w:t>
      </w:r>
    </w:p>
    <w:p>
      <w:pPr>
        <w:pStyle w:val="Body"/>
      </w:pPr>
      <w:r>
        <w:t xml:space="preserve">Hash-ul sursei: 1bbe8ff5c90a36ee6081cd7ac7c1d01e5257e10595efba240a33c0ca68ab89a9</w:t>
      </w:r>
    </w:p>
    <w:p>
      <w:pPr>
        <w:pStyle w:val="Body"/>
      </w:pPr>
      <w:r>
        <w:t xml:space="preserve">Sursa indicatorului: ISRIC SoilGrids2.0 1km mean; 0-5cm · https://files.isric.org/soilgrids/latest/data_aggregated/1000m/soc/soc_0-5cm_mean_1000.tif</w:t>
      </w:r>
    </w:p>
    <w:p>
      <w:pPr>
        <w:pStyle w:val="Body"/>
      </w:pPr>
      <w:r>
        <w:t xml:space="preserve">Obținut la UTC: 2026-10-07T19:29:10.296893+00:00</w:t>
      </w:r>
    </w:p>
    <w:p>
      <w:pPr>
        <w:pStyle w:val="Body"/>
      </w:pPr>
      <w:r>
        <w:t xml:space="preserve">Suportul spațial: ROU-ADM0-16175383; RO:geo:ROU-ADM0-16175383:national:ALL_LAND; Întregul teritoriu</w:t>
      </w:r>
    </w:p>
    <w:p>
      <w:pPr>
        <w:pStyle w:val="Body"/>
      </w:pPr>
      <w:r>
        <w:t xml:space="preserve">Ipoteze: Medie pe suportul valid, ponderată după aria de intersecție; nu reprezintă o observație la nivel de parcelă.; SoilGrids 2.0: medii modelate la 1 km și adâncimi explicite, nu analize de laborator. Cuantilele nu sunt incluse. pH este o medie a hărții, nu un calcul de amestec chimic. Ponderile de suprafață ale solului sunt calculate în proiecția nativă ESRI:54052; nu sunt arii EPSG:3035.</w:t>
      </w:r>
    </w:p>
    <w:p>
      <w:pPr>
        <w:pStyle w:val="Body"/>
      </w:pPr>
      <w:r>
        <w:t xml:space="preserve">Incertitudine: Acoperirea nu este un interval de încredere sau o garanție de precizie.</w:t>
      </w:r>
    </w:p>
    <w:p>
      <w:pPr>
        <w:pStyle w:val="Body"/>
      </w:pPr>
      <w:r>
        <w:t xml:space="preserve">Hash-ul sursei: bdb89565fcd73ee8774c88e23c2cfe69116857e76641570ec3173365feeccb02</w:t>
      </w:r>
    </w:p>
    <w:p>
      <w:pPr>
        <w:pStyle w:val="Body"/>
      </w:pPr>
      <w:r>
        <w:t xml:space="preserve">Sursa indicatorului: CEMS/JRC EDO CDI v4.1.1 · </w:t>
      </w:r>
    </w:p>
    <w:p>
      <w:pPr>
        <w:pStyle w:val="Body"/>
      </w:pPr>
      <w:r>
        <w:t xml:space="preserve">Obținut la UTC: </w:t>
      </w:r>
    </w:p>
    <w:p>
      <w:pPr>
        <w:pStyle w:val="Body"/>
      </w:pPr>
      <w:r>
        <w:t xml:space="preserve">Suportul spațial: ROU-ADM0-16175383; RO:geo:ROU-ADM0-16175383:national:ALL_LAND; Întregul teritoriu</w:t>
      </w:r>
    </w:p>
    <w:p>
      <w:pPr>
        <w:pStyle w:val="Body"/>
      </w:pPr>
      <w:r>
        <w:t xml:space="preserve">Ipoteze: Medie pe suportul valid, ponderată după aria de intersecție; nu reprezintă o observație la nivel de parcelă.; CDI: ponderi de suprafață ale claselor publicate, nu media codurilor. Avertismentul JRC privind tendința excesiv de uscată în estul Poloniei se păstrează. SWI nu este disponibil.</w:t>
      </w:r>
    </w:p>
    <w:p>
      <w:pPr>
        <w:pStyle w:val="Body"/>
      </w:pPr>
      <w:r>
        <w:t xml:space="preserve">Incertitudine: Acoperirea nu este un interval de încredere sau o garanție de precizie.</w:t>
      </w:r>
    </w:p>
    <w:p>
      <w:pPr>
        <w:pStyle w:val="Body"/>
      </w:pPr>
      <w:r>
        <w:t xml:space="preserve">Hash-ul sursei: e74d6f3fbd674329ac0ebf349ee0d0eddc1a6c3edc20fa627fa264635c6f109e</w:t>
      </w:r>
    </w:p>
    <w:p>
      <w:pPr>
        <w:pStyle w:val="Body"/>
      </w:pPr>
      <w:r>
        <w:t xml:space="preserve">Sursa indicatorului: Eurostat apro_cpsh1 / apro_cpshr · https://ec.europa.eu/eurostat/api/dissemination/statistics/1.0/data/apro_cpsh1?lang=EN&amp;geo=RO&amp;sinceTimePeriod=2000</w:t>
      </w:r>
    </w:p>
    <w:p>
      <w:pPr>
        <w:pStyle w:val="Body"/>
      </w:pPr>
      <w:r>
        <w:t xml:space="preserve">Obținut la UTC: 2026-10-07T19:10:42.657891+00:00</w:t>
      </w:r>
    </w:p>
    <w:p>
      <w:pPr>
        <w:pStyle w:val="Body"/>
      </w:pPr>
      <w:r>
        <w:t xml:space="preserve">Suportul spațial: RO; Eurostat native statistical geography; not ADM1 allocation</w:t>
      </w:r>
    </w:p>
    <w:p>
      <w:pPr>
        <w:pStyle w:val="Body"/>
      </w:pPr>
      <w:r>
        <w:t xml:space="preserve">Ipoteze: Teritoriul statistic are propriul cod Eurostat/NUTS și nu este echivalat automat cu ADM1. Datele nu sunt repartizate la localități. Se păstrează definițiile suprafeței și umidității.; Marcajele furnizorului se păstrează: p provizoriu, e estimat, b ruptură de serie; lipsa nu este zero. Anul 2026 nu este încheiat.</w:t>
      </w:r>
    </w:p>
    <w:p>
      <w:pPr>
        <w:pStyle w:val="Body"/>
      </w:pPr>
      <w:r>
        <w:t xml:space="preserve">Incertitudine: </w:t>
      </w:r>
    </w:p>
    <w:p>
      <w:pPr>
        <w:pStyle w:val="Body"/>
      </w:pPr>
      <w:r>
        <w:t xml:space="preserve">Teritoriu: România · RO</w:t>
      </w:r>
    </w:p>
    <w:p>
      <w:pPr>
        <w:pStyle w:val="Body"/>
      </w:pPr>
      <w:r>
        <w:t xml:space="preserve">Versiunea geometriei: ROU-ADM0-16175383</w:t>
      </w:r>
    </w:p>
    <w:p>
      <w:pPr>
        <w:pStyle w:val="Body"/>
      </w:pPr>
      <w:r>
        <w:t xml:space="preserve">Ponderare spațială: Întregul teritoriu</w:t>
      </w:r>
    </w:p>
    <w:p>
      <w:pPr>
        <w:pStyle w:val="Body"/>
      </w:pPr>
      <w:r>
        <w:t xml:space="preserve">Perioada datelor: Specific fiecărui set de date; consultați tabelele și contextul surselor.</w:t>
      </w:r>
    </w:p>
    <w:p>
      <w:pPr>
        <w:pStyle w:val="Body"/>
      </w:pPr>
      <w:r>
        <w:t xml:space="preserve">Cultură / categorie statistică: Grâu comun și speltă</w:t>
      </w:r>
    </w:p>
    <w:p>
      <w:pPr>
        <w:pStyle w:val="Body"/>
      </w:pPr>
      <w:r>
        <w:t xml:space="preserve">An statistic: 2025 · RO</w:t>
      </w:r>
    </w:p>
    <w:p>
      <w:pPr>
        <w:pStyle w:val="Body"/>
      </w:pPr>
      <w:r>
        <w:t xml:space="preserve">Monedă de scenariu: RON</w:t>
      </w:r>
    </w:p>
    <w:p>
      <w:pPr>
        <w:pStyle w:val="Body"/>
      </w:pPr>
      <w:r>
        <w:t xml:space="preserve">Drepturi de utilizare: Straturile admise și condițiile de utilizare sunt descrise în catalogul surselor.</w:t>
      </w:r>
    </w:p>
    <w:p>
      <w:pPr>
        <w:pStyle w:val="Body"/>
      </w:pPr>
      <w:r>
        <w:t xml:space="preserve">Surse și trasabilitate: Nu se calculează un scor general de risc, probabilitate de nerambursare sau prognoză a recoltei.</w:t>
      </w:r>
    </w:p>
    <w:p>
      <w:pPr>
        <w:pStyle w:val="Body"/>
      </w:pPr>
      <w:r>
        <w:t xml:space="preserve">Surse și trasabilitate: Norma ERA5 1991–2020 nu este completă și comparabilitatea tuturor seriilor nu este admisă. Anomaliile sunt indisponibile.</w:t>
      </w:r>
    </w:p>
    <w:p>
      <w:pPr>
        <w:pStyle w:val="Body"/>
      </w:pPr>
      <w:r>
        <w:t xml:space="preserve">Surse și trasabilitate: Drepturile asupra terenului, autorizațiile de apă și eligibilitatea fermei necesită documente separate.</w:t>
      </w:r>
    </w:p>
    <w:p>
      <w:pPr>
        <w:pStyle w:val="Body"/>
      </w:pPr>
      <w:r>
        <w:t xml:space="preserve">Surse și trasabilitate: Fiecare indicator își păstrează perioada, unitatea și acoperirea. Anul statistic selectat nu modifică datele straturilor climatice, satelitare sau de sol. Statisticile teritoriului selectat nu sunt repartizate artificial către unități mai mici.</w:t>
      </w:r>
    </w:p>
    <w:p>
      <w:pPr>
        <w:pStyle w:val="Body"/>
      </w:pPr>
      <w:r>
        <w:t xml:space="preserve">Surse și trasabilitate: Raportul poate sprijini analiza teritorială. Nu reprezintă o evaluare a bonității, o recomandare de creditare sau un model bancar validat.</w:t>
      </w:r>
    </w:p>
    <w:p>
      <w:pPr>
        <w:pStyle w:val="Body"/>
      </w:pPr>
      <w:r>
        <w:t xml:space="preserve">Surse și trasabilitate: WorldCover 2021 v200 nu este o hartă a culturilor din 2026. Copernicus GLO90 este un model al suprafeței, nu un model garantat al terenului gol.</w:t>
      </w:r>
    </w:p>
    <w:p>
      <w:pPr>
        <w:pStyle w:val="Body"/>
      </w:pPr>
      <w:r>
        <w:t xml:space="preserve">Surse și trasabilitate: SoilGrids 2.0: medii modelate la 1 km și adâncimi explicite, nu analize de laborator. Cuantilele nu sunt incluse. pH este o medie a hărții, nu un calcul de amestec chimic. Ponderile de suprafață ale solului sunt calculate în proiecția nativă ESRI:54052; nu sunt arii EPSG:3035.</w:t>
      </w:r>
    </w:p>
    <w:p>
      <w:pPr>
        <w:pStyle w:val="Body"/>
      </w:pPr>
      <w:r>
        <w:t xml:space="preserve">Surse și trasabilitate: CDI: ponderi de suprafață ale claselor publicate, nu media codurilor. Avertismentul JRC privind tendința excesiv de uscată în estul Poloniei se păstrează. SWI nu este disponibil.</w:t>
      </w:r>
    </w:p>
    <w:p>
      <w:pPr>
        <w:pStyle w:val="Body"/>
      </w:pPr>
      <w:r>
        <w:t xml:space="preserve">Surse și trasabilitate: Contains modified Copernicus Emergency Management Service information [2026]. Informațiile CEMS nu reprezintă o avertizare oficială națională.</w:t>
      </w:r>
    </w:p>
    <w:p>
      <w:pPr>
        <w:pStyle w:val="Body"/>
      </w:pPr>
      <w:r>
        <w:t xml:space="preserve">Surse și trasabilitate: Această versiune preliminară include indicatori selectați despre terenuri, sol și secetă, statistici agricole și surse economice datate. Calculele climatice, ET0, indicii de vegetație și scenariile de irigare nu sunt incluse.</w:t>
      </w:r>
    </w:p>
    <w:p>
      <w:pPr>
        <w:pStyle w:val="Body"/>
      </w:pPr>
      <w:hyperlink r:id="rIdSourcee93b49f66605677fbf80f6f4943f3e8cae2b3316964c02e48495d6826fc3cf01">
        <w:r>
          <w:rPr>
            <w:color w:val="0F4B91"/>
            <w:u w:val="single"/>
          </w:rPr>
          <w:t xml:space="preserve">https://agriculture.ec.europa.eu/cap-my-country/cap-strategic-plans/romania_en</w:t>
        </w:r>
      </w:hyperlink>
    </w:p>
    <w:p>
      <w:pPr>
        <w:pStyle w:val="Body"/>
      </w:pPr>
      <w:hyperlink r:id="rIdSource9637cfe5b65ba706f124ebc9dc53d97cd262548c3f55d17709a7cc57573511ee">
        <w:r>
          <w:rPr>
            <w:color w:val="0F4B91"/>
            <w:u w:val="single"/>
          </w:rPr>
          <w:t xml:space="preserve">https://commission.europa.eu/legal-notice_en</w:t>
        </w:r>
      </w:hyperlink>
    </w:p>
    <w:p>
      <w:pPr>
        <w:pStyle w:val="Body"/>
      </w:pPr>
      <w:hyperlink r:id="rIdSource54895d592300bdd22f5173efbc43db791e5cf54fb1ba71884099ae91eaa9b452">
        <w:r>
          <w:rPr>
            <w:color w:val="0F4B91"/>
            <w:u w:val="single"/>
          </w:rPr>
          <w:t xml:space="preserve">https://creativecommons.org/licenses/by/4.0/</w:t>
        </w:r>
      </w:hyperlink>
    </w:p>
    <w:p>
      <w:pPr>
        <w:pStyle w:val="Body"/>
      </w:pPr>
      <w:hyperlink r:id="rIdSourced75b2c4e469230c5266f5f471e20f248530cc32975bd45222010f73a5cd9ea82">
        <w:r>
          <w:rPr>
            <w:color w:val="0F4B91"/>
            <w:u w:val="single"/>
          </w:rPr>
          <w:t xml:space="preserve">https://data.gov.ro/api/3/action/package_show?id=6b7b18eb-1d88-404a-8ce0-b40d010fc70c</w:t>
        </w:r>
      </w:hyperlink>
    </w:p>
    <w:p>
      <w:pPr>
        <w:pStyle w:val="Body"/>
      </w:pPr>
      <w:hyperlink r:id="rIdSource66cdbb8485084b4f331a8f0caaff8d85b86e2b0b334c20408586269d67fcf652">
        <w:r>
          <w:rPr>
            <w:color w:val="0F4B91"/>
            <w:u w:val="single"/>
          </w:rPr>
          <w:t xml:space="preserve">https://dataspace.copernicus.eu/sites/default/files/media/files/2025-06/copernicus_contributing_mission_data_access_v2_cop_dem_licenses.pdf</w:t>
        </w:r>
      </w:hyperlink>
    </w:p>
    <w:p>
      <w:pPr>
        <w:pStyle w:val="Body"/>
      </w:pPr>
      <w:hyperlink r:id="rIdSourcedd1fed262817ffe4733868015d01b70a5142b1273d37bd8266195ba1ec57a5e5">
        <w:r>
          <w:rPr>
            <w:color w:val="0F4B91"/>
            <w:u w:val="single"/>
          </w:rPr>
          <w:t xml:space="preserve">https://docs.isric.org/globaldata/soilgrids/SoilGrids_faqs.html</w:t>
        </w:r>
      </w:hyperlink>
    </w:p>
    <w:p>
      <w:pPr>
        <w:pStyle w:val="Body"/>
      </w:pPr>
      <w:hyperlink r:id="rIdSource92fcd059373020c5d791517c9015c6f1a81ec80482f073168c55c74d94bfdcaa">
        <w:r>
          <w:rPr>
            <w:color w:val="0F4B91"/>
            <w:u w:val="single"/>
          </w:rPr>
          <w:t xml:space="preserve">https://doi.org/10.5281/zenodo.7254221</w:t>
        </w:r>
      </w:hyperlink>
    </w:p>
    <w:p>
      <w:pPr>
        <w:pStyle w:val="Body"/>
      </w:pPr>
      <w:hyperlink r:id="rIdSource0ac15d02ff2e07602775d3150fca516b3ed8ea9fc29454e5e2cd3c2781d8d5f3">
        <w:r>
          <w:rPr>
            <w:color w:val="0F4B91"/>
            <w:u w:val="single"/>
          </w:rPr>
          <w:t xml:space="preserve">https://drought.emergency.copernicus.eu/terms&amp;conditions</w:t>
        </w:r>
      </w:hyperlink>
    </w:p>
    <w:p>
      <w:pPr>
        <w:pStyle w:val="Body"/>
      </w:pPr>
      <w:hyperlink r:id="rIdSourcee340478ac559a7b7188ce6a21caac2b4671072ca581f2718bed9c2c0f43e1d19">
        <w:r>
          <w:rPr>
            <w:color w:val="0F4B91"/>
            <w:u w:val="single"/>
          </w:rPr>
          <w:t xml:space="preserve">https://ec.europa.eu/eurostat/api/dissemination/statistics/1.0/data/apro_cpsh1?lang=EN&amp;geo=RO&amp;sinceTimePeriod=2000</w:t>
        </w:r>
      </w:hyperlink>
    </w:p>
    <w:p>
      <w:pPr>
        <w:pStyle w:val="Body"/>
      </w:pPr>
      <w:hyperlink r:id="rIdSource22b2cdd213b7b896fcaab78cd010bf684a03fc058f5dfb29eda737d5494cc709">
        <w:r>
          <w:rPr>
            <w:color w:val="0F4B91"/>
            <w:u w:val="single"/>
          </w:rPr>
          <w:t xml:space="preserve">https://ec.europa.eu/eurostat/help/copyright-notice</w:t>
        </w:r>
      </w:hyperlink>
    </w:p>
    <w:p>
      <w:pPr>
        <w:pStyle w:val="Body"/>
      </w:pPr>
      <w:hyperlink r:id="rIdSourced06151476f54147f122fa7c0fa8fcdd68cdba286c5b5d170341b9b0eaa5715ac">
        <w:r>
          <w:rPr>
            <w:color w:val="0F4B91"/>
            <w:u w:val="single"/>
          </w:rPr>
          <w:t xml:space="preserve">https://esa-worldcover.org/en/data-access</w:t>
        </w:r>
      </w:hyperlink>
    </w:p>
    <w:p>
      <w:pPr>
        <w:pStyle w:val="Body"/>
      </w:pPr>
      <w:hyperlink r:id="rIdSourcec26b73f275feec3a62ed33b59afdbf311fb46b9244b973058f8e50f09efb75bf">
        <w:r>
          <w:rPr>
            <w:color w:val="0F4B91"/>
            <w:u w:val="single"/>
          </w:rPr>
          <w:t xml:space="preserve">https://files.isric.org/soilgrids/latest/data_aggregated/1000m/clay/clay_0-5cm_mean_1000.tif</w:t>
        </w:r>
      </w:hyperlink>
    </w:p>
    <w:p>
      <w:pPr>
        <w:pStyle w:val="Body"/>
      </w:pPr>
      <w:hyperlink r:id="rIdSourcebf45b7a150c2891e1ff8f2319097f2f892098b343bbb5a77649ce5b8800c4012">
        <w:r>
          <w:rPr>
            <w:color w:val="0F4B91"/>
            <w:u w:val="single"/>
          </w:rPr>
          <w:t xml:space="preserve">https://files.isric.org/soilgrids/latest/data_aggregated/1000m/phh2o/phh2o_0-5cm_mean_1000.tif</w:t>
        </w:r>
      </w:hyperlink>
    </w:p>
    <w:p>
      <w:pPr>
        <w:pStyle w:val="Body"/>
      </w:pPr>
      <w:hyperlink r:id="rIdSource6c8b17678c2b025ed873c8d5e7c44fdf1cbdfb485a9aa876b2d4465c8212e184">
        <w:r>
          <w:rPr>
            <w:color w:val="0F4B91"/>
            <w:u w:val="single"/>
          </w:rPr>
          <w:t xml:space="preserve">https://files.isric.org/soilgrids/latest/data_aggregated/1000m/soc/soc_0-5cm_mean_1000.tif</w:t>
        </w:r>
      </w:hyperlink>
    </w:p>
    <w:p>
      <w:pPr>
        <w:pStyle w:val="Body"/>
      </w:pPr>
      <w:hyperlink r:id="rIdSource2dbcb61808212ed5ac13d65a8dcaf8f3e51566d22c00fca15fe0cc3d4ac44df7">
        <w:r>
          <w:rPr>
            <w:color w:val="0F4B91"/>
            <w:u w:val="single"/>
          </w:rPr>
          <w:t xml:space="preserve">https://romania.terrascore.eu/?compare=&amp;crop=C1110&amp;depth=0-5cm&amp;geo=RO%3Ageo%3AROU-ADM0-16175383%3Anational%3AALL_LAND&amp;lang=ro&amp;period=season&amp;statgeo=RO&amp;view=profile&amp;year=2025</w:t>
        </w:r>
      </w:hyperlink>
    </w:p>
    <w:p>
      <w:pPr>
        <w:pStyle w:val="Body"/>
      </w:pPr>
      <w:hyperlink r:id="rIdSource818cf0ccc0e41777c9973cb155b4eb3b1f566eaa46a85daea1d46c03951ddaa6">
        <w:r>
          <w:rPr>
            <w:color w:val="0F4B91"/>
            <w:u w:val="single"/>
          </w:rPr>
          <w:t xml:space="preserve">https://romania.terrascore.eu/data.json?compare=&amp;crop=C1110&amp;depth=0-5cm&amp;geo=RO%3Ageo%3AROU-ADM0-16175383%3Anational%3AALL_LAND&amp;lang=ro&amp;period=season&amp;statgeo=RO&amp;view=profile&amp;year=2025</w:t>
        </w:r>
      </w:hyperlink>
    </w:p>
    <w:p>
      <w:pPr>
        <w:pStyle w:val="Body"/>
      </w:pPr>
      <w:hyperlink r:id="rIdSourcec349115a1c1be370f4c5471c5593774e5ba2e6cd9ce3c525889612e3edfa8d4c">
        <w:r>
          <w:rPr>
            <w:color w:val="0F4B91"/>
            <w:u w:val="single"/>
          </w:rPr>
          <w:t xml:space="preserve">https://romania.terrascore.eu/report.csv?compare=&amp;crop=C1110&amp;depth=0-5cm&amp;geo=RO%3Ageo%3AROU-ADM0-16175383%3Anational%3AALL_LAND&amp;lang=ro&amp;period=season&amp;statgeo=RO&amp;view=profile&amp;year=2025</w:t>
        </w:r>
      </w:hyperlink>
    </w:p>
    <w:p>
      <w:pPr>
        <w:pStyle w:val="Body"/>
      </w:pPr>
      <w:hyperlink r:id="rIdSource77a10a75121aed79ba2d5d5f828ef38bc1f050ce0babea57f93d29f3d3047bf1">
        <w:r>
          <w:rPr>
            <w:color w:val="0F4B91"/>
            <w:u w:val="single"/>
          </w:rPr>
          <w:t xml:space="preserve">https://romania.terrascore.eu/report.docx?compare=&amp;crop=C1110&amp;depth=0-5cm&amp;geo=RO%3Ageo%3AROU-ADM0-16175383%3Anational%3AALL_LAND&amp;lang=ro&amp;period=season&amp;statgeo=RO&amp;view=profile&amp;year=2025</w:t>
        </w:r>
      </w:hyperlink>
    </w:p>
    <w:p>
      <w:pPr>
        <w:pStyle w:val="Body"/>
      </w:pPr>
      <w:hyperlink r:id="rIdSourced9d3e266c00c5c3c0bcc3612c84cbb3cc651c1285cc3ef2004e6dd26a26fd844">
        <w:r>
          <w:rPr>
            <w:color w:val="0F4B91"/>
            <w:u w:val="single"/>
          </w:rPr>
          <w:t xml:space="preserve">https://romania.terrascore.eu/report.pdf?compare=&amp;crop=C1110&amp;depth=0-5cm&amp;geo=RO%3Ageo%3AROU-ADM0-16175383%3Anational%3AALL_LAND&amp;lang=ro&amp;period=season&amp;statgeo=RO&amp;view=profile&amp;year=2025</w:t>
        </w:r>
      </w:hyperlink>
    </w:p>
    <w:p>
      <w:pPr>
        <w:pStyle w:val="Body"/>
      </w:pPr>
      <w:hyperlink r:id="rIdSource024552b0ebaa371a22d979d8e28ef8f97e685e7199292a7b77ade2c141eb489f">
        <w:r>
          <w:rPr>
            <w:color w:val="0F4B91"/>
            <w:u w:val="single"/>
          </w:rPr>
          <w:t xml:space="preserve">https://romania.terrascore.eu/report.xlsx?compare=&amp;crop=C1110&amp;depth=0-5cm&amp;geo=RO%3Ageo%3AROU-ADM0-16175383%3Anational%3AALL_LAND&amp;lang=ro&amp;period=season&amp;statgeo=RO&amp;view=profile&amp;year=2025</w:t>
        </w:r>
      </w:hyperlink>
    </w:p>
    <w:p>
      <w:pPr>
        <w:pStyle w:val="Body"/>
      </w:pPr>
      <w:hyperlink r:id="rIdSource7149cd5fb691633f888b4f534a5c1646a5143645417792042157910bfbf0dda1">
        <w:r>
          <w:rPr>
            <w:color w:val="0F4B91"/>
            <w:u w:val="single"/>
          </w:rPr>
          <w:t xml:space="preserve">https://www.geoboundaries.org/api/current/gbOpen/ROU/ADM0/</w:t>
        </w:r>
      </w:hyperlink>
    </w:p>
    <w:sectPr>
      <w:pgSz w:w="11906" w:h="16838"/>
      <w:pgMar w:top="1000" w:right="900" w:bottom="1000" w:left="900"/>
    </w:sectPr>
  </w:body>
</w:document>
</file>

<file path=word/styles.xml><?xml version="1.0" encoding="utf-8"?>
<w:styles xmlns:w="http://schemas.openxmlformats.org/wordprocessingml/2006/main">
  <w:docDefaults>
    <w:rPrDefault>
      <w:rPr>
        <w:rFonts w:ascii="IBM Plex Sans" w:hAnsi="IBM Plex Sans"/>
        <w:sz w:val="20"/>
        <w:lang w:val="ro"/>
      </w:rPr>
    </w:rPrDefault>
  </w:docDefaults>
  <w:style w:type="paragraph" w:styleId="Body">
    <w:name w:val="Body"/>
    <w:pPr>
      <w:spacing w:after="100"/>
    </w:pPr>
  </w:style>
  <w:style w:type="paragraph" w:styleId="Title">
    <w:name w:val="Title"/>
    <w:rPr>
      <w:b/>
      <w:color w:val="383838"/>
      <w:sz w:val="40"/>
    </w:rPr>
  </w:style>
  <w:style w:type="paragraph" w:styleId="Subtitle">
    <w:name w:val="Subtitle"/>
    <w:rPr>
      <w:color w:val="60697B"/>
    </w:rPr>
  </w:style>
  <w:style w:type="paragraph" w:styleId="Heading1">
    <w:name w:val="Heading1"/>
    <w:pPr>
      <w:keepNext/>
      <w:outlineLvl w:val="0"/>
      <w:spacing w:before="240" w:after="120"/>
    </w:pPr>
    <w:rPr>
      <w:b/>
      <w:color w:val="383838"/>
      <w:sz w:val="26"/>
    </w:rPr>
  </w:style>
</w:styles>
</file>

<file path=word/_rels/document.xml.rels><?xml version="1.0"?><Relationships xmlns="http://schemas.openxmlformats.org/package/2006/relationships"><Relationship Id="rId1" Type="http://schemas.openxmlformats.org/officeDocument/2006/relationships/styles" Target="styles.xml"/><Relationship Id="rIdLogo" Type="http://schemas.openxmlformats.org/officeDocument/2006/relationships/image" Target="media/terrascore-logo.png"/><Relationship Id="rIdSourcee93b49f66605677fbf80f6f4943f3e8cae2b3316964c02e48495d6826fc3cf01" Type="http://schemas.openxmlformats.org/officeDocument/2006/relationships/hyperlink" Target="https://agriculture.ec.europa.eu/cap-my-country/cap-strategic-plans/romania_en" TargetMode="External"/><Relationship Id="rIdSource9637cfe5b65ba706f124ebc9dc53d97cd262548c3f55d17709a7cc57573511ee" Type="http://schemas.openxmlformats.org/officeDocument/2006/relationships/hyperlink" Target="https://commission.europa.eu/legal-notice_en" TargetMode="External"/><Relationship Id="rIdSource54895d592300bdd22f5173efbc43db791e5cf54fb1ba71884099ae91eaa9b452" Type="http://schemas.openxmlformats.org/officeDocument/2006/relationships/hyperlink" Target="https://creativecommons.org/licenses/by/4.0/" TargetMode="External"/><Relationship Id="rIdSourced75b2c4e469230c5266f5f471e20f248530cc32975bd45222010f73a5cd9ea82" Type="http://schemas.openxmlformats.org/officeDocument/2006/relationships/hyperlink" Target="https://data.gov.ro/api/3/action/package_show?id=6b7b18eb-1d88-404a-8ce0-b40d010fc70c" TargetMode="External"/><Relationship Id="rIdSource66cdbb8485084b4f331a8f0caaff8d85b86e2b0b334c20408586269d67fcf652" Type="http://schemas.openxmlformats.org/officeDocument/2006/relationships/hyperlink" Target="https://dataspace.copernicus.eu/sites/default/files/media/files/2025-06/copernicus_contributing_mission_data_access_v2_cop_dem_licenses.pdf" TargetMode="External"/><Relationship Id="rIdSourcedd1fed262817ffe4733868015d01b70a5142b1273d37bd8266195ba1ec57a5e5" Type="http://schemas.openxmlformats.org/officeDocument/2006/relationships/hyperlink" Target="https://docs.isric.org/globaldata/soilgrids/SoilGrids_faqs.html" TargetMode="External"/><Relationship Id="rIdSource92fcd059373020c5d791517c9015c6f1a81ec80482f073168c55c74d94bfdcaa" Type="http://schemas.openxmlformats.org/officeDocument/2006/relationships/hyperlink" Target="https://doi.org/10.5281/zenodo.7254221" TargetMode="External"/><Relationship Id="rIdSource0ac15d02ff2e07602775d3150fca516b3ed8ea9fc29454e5e2cd3c2781d8d5f3" Type="http://schemas.openxmlformats.org/officeDocument/2006/relationships/hyperlink" Target="https://drought.emergency.copernicus.eu/terms&amp;conditions" TargetMode="External"/><Relationship Id="rIdSourcee340478ac559a7b7188ce6a21caac2b4671072ca581f2718bed9c2c0f43e1d19" Type="http://schemas.openxmlformats.org/officeDocument/2006/relationships/hyperlink" Target="https://ec.europa.eu/eurostat/api/dissemination/statistics/1.0/data/apro_cpsh1?lang=EN&amp;geo=RO&amp;sinceTimePeriod=2000" TargetMode="External"/><Relationship Id="rIdSource22b2cdd213b7b896fcaab78cd010bf684a03fc058f5dfb29eda737d5494cc709" Type="http://schemas.openxmlformats.org/officeDocument/2006/relationships/hyperlink" Target="https://ec.europa.eu/eurostat/help/copyright-notice" TargetMode="External"/><Relationship Id="rIdSourced06151476f54147f122fa7c0fa8fcdd68cdba286c5b5d170341b9b0eaa5715ac" Type="http://schemas.openxmlformats.org/officeDocument/2006/relationships/hyperlink" Target="https://esa-worldcover.org/en/data-access" TargetMode="External"/><Relationship Id="rIdSourcec26b73f275feec3a62ed33b59afdbf311fb46b9244b973058f8e50f09efb75bf" Type="http://schemas.openxmlformats.org/officeDocument/2006/relationships/hyperlink" Target="https://files.isric.org/soilgrids/latest/data_aggregated/1000m/clay/clay_0-5cm_mean_1000.tif" TargetMode="External"/><Relationship Id="rIdSourcebf45b7a150c2891e1ff8f2319097f2f892098b343bbb5a77649ce5b8800c4012" Type="http://schemas.openxmlformats.org/officeDocument/2006/relationships/hyperlink" Target="https://files.isric.org/soilgrids/latest/data_aggregated/1000m/phh2o/phh2o_0-5cm_mean_1000.tif" TargetMode="External"/><Relationship Id="rIdSource6c8b17678c2b025ed873c8d5e7c44fdf1cbdfb485a9aa876b2d4465c8212e184" Type="http://schemas.openxmlformats.org/officeDocument/2006/relationships/hyperlink" Target="https://files.isric.org/soilgrids/latest/data_aggregated/1000m/soc/soc_0-5cm_mean_1000.tif" TargetMode="External"/><Relationship Id="rIdSource2dbcb61808212ed5ac13d65a8dcaf8f3e51566d22c00fca15fe0cc3d4ac44df7" Type="http://schemas.openxmlformats.org/officeDocument/2006/relationships/hyperlink" Target="https://romania.terrascore.eu/?compare=&amp;crop=C1110&amp;depth=0-5cm&amp;geo=RO%3Ageo%3AROU-ADM0-16175383%3Anational%3AALL_LAND&amp;lang=ro&amp;period=season&amp;statgeo=RO&amp;view=profile&amp;year=2025" TargetMode="External"/><Relationship Id="rIdSource818cf0ccc0e41777c9973cb155b4eb3b1f566eaa46a85daea1d46c03951ddaa6" Type="http://schemas.openxmlformats.org/officeDocument/2006/relationships/hyperlink" Target="https://romania.terrascore.eu/data.json?compare=&amp;crop=C1110&amp;depth=0-5cm&amp;geo=RO%3Ageo%3AROU-ADM0-16175383%3Anational%3AALL_LAND&amp;lang=ro&amp;period=season&amp;statgeo=RO&amp;view=profile&amp;year=2025" TargetMode="External"/><Relationship Id="rIdSourcec349115a1c1be370f4c5471c5593774e5ba2e6cd9ce3c525889612e3edfa8d4c" Type="http://schemas.openxmlformats.org/officeDocument/2006/relationships/hyperlink" Target="https://romania.terrascore.eu/report.csv?compare=&amp;crop=C1110&amp;depth=0-5cm&amp;geo=RO%3Ageo%3AROU-ADM0-16175383%3Anational%3AALL_LAND&amp;lang=ro&amp;period=season&amp;statgeo=RO&amp;view=profile&amp;year=2025" TargetMode="External"/><Relationship Id="rIdSource77a10a75121aed79ba2d5d5f828ef38bc1f050ce0babea57f93d29f3d3047bf1" Type="http://schemas.openxmlformats.org/officeDocument/2006/relationships/hyperlink" Target="https://romania.terrascore.eu/report.docx?compare=&amp;crop=C1110&amp;depth=0-5cm&amp;geo=RO%3Ageo%3AROU-ADM0-16175383%3Anational%3AALL_LAND&amp;lang=ro&amp;period=season&amp;statgeo=RO&amp;view=profile&amp;year=2025" TargetMode="External"/><Relationship Id="rIdSourced9d3e266c00c5c3c0bcc3612c84cbb3cc651c1285cc3ef2004e6dd26a26fd844" Type="http://schemas.openxmlformats.org/officeDocument/2006/relationships/hyperlink" Target="https://romania.terrascore.eu/report.pdf?compare=&amp;crop=C1110&amp;depth=0-5cm&amp;geo=RO%3Ageo%3AROU-ADM0-16175383%3Anational%3AALL_LAND&amp;lang=ro&amp;period=season&amp;statgeo=RO&amp;view=profile&amp;year=2025" TargetMode="External"/><Relationship Id="rIdSource024552b0ebaa371a22d979d8e28ef8f97e685e7199292a7b77ade2c141eb489f" Type="http://schemas.openxmlformats.org/officeDocument/2006/relationships/hyperlink" Target="https://romania.terrascore.eu/report.xlsx?compare=&amp;crop=C1110&amp;depth=0-5cm&amp;geo=RO%3Ageo%3AROU-ADM0-16175383%3Anational%3AALL_LAND&amp;lang=ro&amp;period=season&amp;statgeo=RO&amp;view=profile&amp;year=2025" TargetMode="External"/><Relationship Id="rIdSource7149cd5fb691633f888b4f534a5c1646a5143645417792042157910bfbf0dda1" Type="http://schemas.openxmlformats.org/officeDocument/2006/relationships/hyperlink" Target="https://www.geoboundaries.org/api/current/gbOpen/ROU/ADM0/" TargetMode="External"/></Relationships>
</file>